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5325" w14:textId="77777777" w:rsidR="009662C7" w:rsidRPr="0017295B" w:rsidRDefault="009662C7" w:rsidP="009662C7">
      <w:pPr>
        <w:spacing w:before="480" w:after="240"/>
        <w:rPr>
          <w:rFonts w:ascii="Arial" w:hAnsi="Arial" w:cs="Arial"/>
          <w:b/>
          <w:sz w:val="22"/>
          <w:szCs w:val="22"/>
        </w:rPr>
      </w:pPr>
      <w:r w:rsidRPr="0017295B">
        <w:rPr>
          <w:rFonts w:ascii="Arial" w:hAnsi="Arial" w:cs="Arial"/>
          <w:b/>
          <w:sz w:val="22"/>
          <w:szCs w:val="22"/>
        </w:rPr>
        <w:t>SUPPLEMENTARY MATERIAL</w:t>
      </w:r>
    </w:p>
    <w:p w14:paraId="0AA08B16" w14:textId="77777777" w:rsidR="009662C7" w:rsidRPr="009662C7" w:rsidRDefault="009662C7" w:rsidP="00912D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1413"/>
          <w:sz w:val="22"/>
          <w:szCs w:val="22"/>
          <w:u w:val="single"/>
          <w:lang w:val="en-GB"/>
        </w:rPr>
      </w:pPr>
    </w:p>
    <w:p w14:paraId="4C0479E6" w14:textId="77777777" w:rsidR="00912D39" w:rsidRPr="00475CFE" w:rsidRDefault="00912D39" w:rsidP="003C7A6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131413"/>
          <w:sz w:val="22"/>
          <w:szCs w:val="22"/>
          <w:u w:val="single"/>
          <w:lang w:val="en-GB"/>
        </w:rPr>
      </w:pPr>
      <w:r w:rsidRPr="00475CFE">
        <w:rPr>
          <w:rFonts w:ascii="Arial" w:hAnsi="Arial" w:cs="Arial"/>
          <w:color w:val="131413"/>
          <w:sz w:val="22"/>
          <w:szCs w:val="22"/>
          <w:u w:val="single"/>
          <w:lang w:val="en-GB"/>
        </w:rPr>
        <w:t>SAOL cohort</w:t>
      </w:r>
    </w:p>
    <w:p w14:paraId="62C53B27" w14:textId="77777777" w:rsidR="00912D39" w:rsidRPr="00475CFE" w:rsidRDefault="00912D39" w:rsidP="003C7A6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131413"/>
          <w:sz w:val="22"/>
          <w:szCs w:val="22"/>
          <w:lang w:val="en-GB"/>
        </w:rPr>
      </w:pPr>
      <w:r w:rsidRPr="00475CFE">
        <w:rPr>
          <w:rFonts w:ascii="Arial" w:hAnsi="Arial" w:cs="Arial"/>
          <w:color w:val="131413"/>
          <w:sz w:val="22"/>
          <w:szCs w:val="22"/>
          <w:lang w:val="en-GB"/>
        </w:rPr>
        <w:t xml:space="preserve">The SAOL (Santo </w:t>
      </w:r>
      <w:proofErr w:type="spellStart"/>
      <w:r w:rsidRPr="00475CFE">
        <w:rPr>
          <w:rFonts w:ascii="Arial" w:hAnsi="Arial" w:cs="Arial"/>
          <w:color w:val="131413"/>
          <w:sz w:val="22"/>
          <w:szCs w:val="22"/>
          <w:lang w:val="en-GB"/>
        </w:rPr>
        <w:t>António</w:t>
      </w:r>
      <w:proofErr w:type="spellEnd"/>
      <w:r w:rsidRPr="00475CFE">
        <w:rPr>
          <w:rFonts w:ascii="Arial" w:hAnsi="Arial" w:cs="Arial"/>
          <w:color w:val="131413"/>
          <w:sz w:val="22"/>
          <w:szCs w:val="22"/>
          <w:lang w:val="en-GB"/>
        </w:rPr>
        <w:t xml:space="preserve"> dos </w:t>
      </w:r>
      <w:proofErr w:type="spellStart"/>
      <w:r w:rsidRPr="00475CFE">
        <w:rPr>
          <w:rFonts w:ascii="Arial" w:hAnsi="Arial" w:cs="Arial"/>
          <w:color w:val="131413"/>
          <w:sz w:val="22"/>
          <w:szCs w:val="22"/>
          <w:lang w:val="en-GB"/>
        </w:rPr>
        <w:t>Olivais</w:t>
      </w:r>
      <w:proofErr w:type="spellEnd"/>
      <w:r w:rsidRPr="00475CFE">
        <w:rPr>
          <w:rFonts w:ascii="Arial" w:hAnsi="Arial" w:cs="Arial"/>
          <w:color w:val="131413"/>
          <w:sz w:val="22"/>
          <w:szCs w:val="22"/>
          <w:lang w:val="en-GB"/>
        </w:rPr>
        <w:t xml:space="preserve">) study is a </w:t>
      </w:r>
      <w:r w:rsidRPr="00475CFE">
        <w:rPr>
          <w:rFonts w:ascii="Arial" w:eastAsia="Times New Roman" w:hAnsi="Arial" w:cs="Arial"/>
          <w:color w:val="2D2D2D"/>
          <w:sz w:val="22"/>
          <w:szCs w:val="22"/>
          <w:shd w:val="clear" w:color="auto" w:fill="FFFFFF"/>
          <w:lang w:val="en-GB"/>
        </w:rPr>
        <w:t xml:space="preserve">population-based cohort, 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t>designed to examine the association between a variety of potential risk factors and osteoporosis and fragility fractures. Design and recruitment have been previously described.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begin">
          <w:fldData xml:space="preserve">PEVuZE5vdGU+PENpdGU+PEF1dGhvcj5kYSBTaWx2YSBKQVA8L0F1dGhvcj48UmVjTnVtPjE2MTU3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==
</w:fldData>
        </w:fldCha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instrText xml:space="preserve"> ADDIN EN.CITE </w:instrTex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begin">
          <w:fldData xml:space="preserve">PEVuZE5vdGU+PENpdGU+PEF1dGhvcj5kYSBTaWx2YSBKQVA8L0F1dGhvcj48UmVjTnVtPjE2MTU3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==
</w:fldData>
        </w:fldCha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instrText xml:space="preserve"> ADDIN EN.CITE.DATA </w:instrTex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end"/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separate"/>
      </w:r>
      <w:r w:rsidRPr="00475CFE">
        <w:rPr>
          <w:rFonts w:ascii="Arial" w:hAnsi="Arial" w:cs="Arial"/>
          <w:noProof/>
          <w:color w:val="131413"/>
          <w:sz w:val="22"/>
          <w:szCs w:val="22"/>
          <w:lang w:val="en-GB"/>
        </w:rPr>
        <w:t>[13-15]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end"/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t xml:space="preserve"> From March 1998 to April 2000, 1,745 persons, aged &gt;18 years, were identified, contacted and recruited, with the method of random numbers selection from the electoral register of the county, stratified by gender and 5-year age strata. Participants responded to validated questionnaires on risk factors for osteoporosis and underwent a DXA examination of the lumbar spine and proximal femur. Between March 2011 and March 2014, a </w:t>
      </w:r>
      <w:proofErr w:type="gramStart"/>
      <w:r w:rsidRPr="00475CFE">
        <w:rPr>
          <w:rFonts w:ascii="Arial" w:hAnsi="Arial" w:cs="Arial"/>
          <w:color w:val="131413"/>
          <w:sz w:val="22"/>
          <w:szCs w:val="22"/>
          <w:lang w:val="en-GB"/>
        </w:rPr>
        <w:t>follow up visit was done by a research nurse</w:t>
      </w:r>
      <w:proofErr w:type="gramEnd"/>
      <w:r w:rsidRPr="00475CFE">
        <w:rPr>
          <w:rFonts w:ascii="Arial" w:hAnsi="Arial" w:cs="Arial"/>
          <w:color w:val="131413"/>
          <w:sz w:val="22"/>
          <w:szCs w:val="22"/>
          <w:lang w:val="en-GB"/>
        </w:rPr>
        <w:t xml:space="preserve">, who applied the questionnaires also used at baseline and performed DXA examination. </w:t>
      </w:r>
    </w:p>
    <w:p w14:paraId="437B35C3" w14:textId="77777777" w:rsidR="00912D39" w:rsidRPr="00475CFE" w:rsidRDefault="00912D39" w:rsidP="003C7A6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131413"/>
          <w:sz w:val="22"/>
          <w:szCs w:val="22"/>
          <w:lang w:val="en-GB"/>
        </w:rPr>
      </w:pPr>
    </w:p>
    <w:p w14:paraId="68CA5793" w14:textId="77777777" w:rsidR="00912D39" w:rsidRPr="00475CFE" w:rsidRDefault="00912D39" w:rsidP="003C7A6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475CFE">
        <w:rPr>
          <w:rFonts w:ascii="Arial" w:hAnsi="Arial" w:cs="Arial"/>
          <w:sz w:val="22"/>
          <w:szCs w:val="22"/>
          <w:u w:val="single"/>
          <w:lang w:val="en-GB"/>
        </w:rPr>
        <w:t xml:space="preserve">IPR </w:t>
      </w:r>
      <w:r w:rsidRPr="00475CFE">
        <w:rPr>
          <w:rFonts w:ascii="Arial" w:hAnsi="Arial" w:cs="Arial"/>
          <w:color w:val="131413"/>
          <w:sz w:val="22"/>
          <w:szCs w:val="22"/>
          <w:u w:val="single"/>
          <w:lang w:val="en-GB"/>
        </w:rPr>
        <w:t>cohort</w:t>
      </w:r>
    </w:p>
    <w:p w14:paraId="358E8529" w14:textId="77777777" w:rsidR="00912D39" w:rsidRPr="00475CFE" w:rsidRDefault="00912D39" w:rsidP="003C7A6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131413"/>
          <w:sz w:val="22"/>
          <w:szCs w:val="22"/>
          <w:lang w:val="en-GB"/>
        </w:rPr>
      </w:pPr>
      <w:r w:rsidRPr="00475CFE">
        <w:rPr>
          <w:rFonts w:ascii="Arial" w:hAnsi="Arial" w:cs="Arial"/>
          <w:sz w:val="22"/>
          <w:szCs w:val="22"/>
          <w:lang w:val="en-GB"/>
        </w:rPr>
        <w:t>The population of this prospective cohort study consists of 819 women and men aged 40 years or older at baseline, of whom a DXA was performed between December 1999 and July 2001 at IPR (</w:t>
      </w:r>
      <w:proofErr w:type="spellStart"/>
      <w:r w:rsidRPr="00475CFE">
        <w:rPr>
          <w:rFonts w:ascii="Arial" w:hAnsi="Arial" w:cs="Arial"/>
          <w:sz w:val="22"/>
          <w:szCs w:val="22"/>
          <w:lang w:val="en-GB"/>
        </w:rPr>
        <w:t>Instituto</w:t>
      </w:r>
      <w:proofErr w:type="spellEnd"/>
      <w:r w:rsidRPr="00475CF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75CFE">
        <w:rPr>
          <w:rFonts w:ascii="Arial" w:hAnsi="Arial" w:cs="Arial"/>
          <w:sz w:val="22"/>
          <w:szCs w:val="22"/>
          <w:lang w:val="en-GB"/>
        </w:rPr>
        <w:t>Português</w:t>
      </w:r>
      <w:proofErr w:type="spellEnd"/>
      <w:r w:rsidRPr="00475CFE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475CFE">
        <w:rPr>
          <w:rFonts w:ascii="Arial" w:hAnsi="Arial" w:cs="Arial"/>
          <w:sz w:val="22"/>
          <w:szCs w:val="22"/>
          <w:lang w:val="en-GB"/>
        </w:rPr>
        <w:t>Reumatologia</w:t>
      </w:r>
      <w:proofErr w:type="spellEnd"/>
      <w:r w:rsidRPr="00475CFE">
        <w:rPr>
          <w:rFonts w:ascii="Arial" w:hAnsi="Arial" w:cs="Arial"/>
          <w:sz w:val="22"/>
          <w:szCs w:val="22"/>
          <w:lang w:val="en-GB"/>
        </w:rPr>
        <w:t xml:space="preserve">, Lisbon). Participants responded to a dedicated questionnaire on risk factors for osteoporosis and fracture. There were no predefined criteria for ordering a DXA, the request being based solely on judgment of the responsible clinician. </w:t>
      </w:r>
      <w:proofErr w:type="gramStart"/>
      <w:r w:rsidRPr="00475CFE">
        <w:rPr>
          <w:rFonts w:ascii="Arial" w:hAnsi="Arial" w:cs="Arial"/>
          <w:sz w:val="22"/>
          <w:szCs w:val="22"/>
          <w:lang w:val="en-GB"/>
        </w:rPr>
        <w:t xml:space="preserve">Participants were referred by physicians, including general practitioners, rheumatologists, endocrinologists, </w:t>
      </w:r>
      <w:proofErr w:type="spellStart"/>
      <w:r w:rsidRPr="00475CFE">
        <w:rPr>
          <w:rFonts w:ascii="Arial" w:hAnsi="Arial" w:cs="Arial"/>
          <w:sz w:val="22"/>
          <w:szCs w:val="22"/>
          <w:lang w:val="en-GB"/>
        </w:rPr>
        <w:t>orthopedic</w:t>
      </w:r>
      <w:proofErr w:type="spellEnd"/>
      <w:r w:rsidRPr="00475CFE">
        <w:rPr>
          <w:rFonts w:ascii="Arial" w:hAnsi="Arial" w:cs="Arial"/>
          <w:sz w:val="22"/>
          <w:szCs w:val="22"/>
          <w:lang w:val="en-GB"/>
        </w:rPr>
        <w:t xml:space="preserve"> surgeons, and gynaecologists</w:t>
      </w:r>
      <w:proofErr w:type="gramEnd"/>
      <w:r w:rsidRPr="00475CFE">
        <w:rPr>
          <w:rFonts w:ascii="Arial" w:hAnsi="Arial" w:cs="Arial"/>
          <w:sz w:val="22"/>
          <w:szCs w:val="22"/>
          <w:lang w:val="en-GB"/>
        </w:rPr>
        <w:t xml:space="preserve">. 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t>Participants were invited for a follow up visit which took place between September and December 2014 by a research nurse who applied a questionnaire about fractures and osteoporosis treatment</w:t>
      </w:r>
      <w:proofErr w:type="gramStart"/>
      <w:r>
        <w:rPr>
          <w:rFonts w:ascii="Arial" w:hAnsi="Arial" w:cs="Arial"/>
          <w:color w:val="131413"/>
          <w:sz w:val="22"/>
          <w:szCs w:val="22"/>
          <w:lang w:val="en-GB"/>
        </w:rPr>
        <w:t>..</w:t>
      </w:r>
      <w:proofErr w:type="gramEnd"/>
    </w:p>
    <w:p w14:paraId="379738CE" w14:textId="77777777" w:rsidR="00912D39" w:rsidRPr="00475CFE" w:rsidRDefault="00912D39" w:rsidP="003C7A6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proofErr w:type="spellStart"/>
      <w:r w:rsidRPr="00475CFE">
        <w:rPr>
          <w:rFonts w:ascii="Arial" w:hAnsi="Arial" w:cs="Arial"/>
          <w:sz w:val="22"/>
          <w:szCs w:val="22"/>
          <w:u w:val="single"/>
          <w:lang w:val="en-GB"/>
        </w:rPr>
        <w:t>EPIPorto</w:t>
      </w:r>
      <w:proofErr w:type="spellEnd"/>
      <w:r w:rsidRPr="00475CFE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475CFE">
        <w:rPr>
          <w:rFonts w:ascii="Arial" w:hAnsi="Arial" w:cs="Arial"/>
          <w:color w:val="131413"/>
          <w:sz w:val="22"/>
          <w:szCs w:val="22"/>
          <w:u w:val="single"/>
          <w:lang w:val="en-GB"/>
        </w:rPr>
        <w:t>cohort</w:t>
      </w:r>
    </w:p>
    <w:p w14:paraId="3F6B188B" w14:textId="77777777" w:rsidR="00912D39" w:rsidRPr="00475CFE" w:rsidRDefault="00912D39" w:rsidP="003C7A63">
      <w:pPr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475CFE">
        <w:rPr>
          <w:rFonts w:ascii="Arial" w:eastAsia="Times New Roman" w:hAnsi="Arial" w:cs="Arial"/>
          <w:color w:val="2D2D2D"/>
          <w:sz w:val="22"/>
          <w:szCs w:val="22"/>
          <w:shd w:val="clear" w:color="auto" w:fill="FFFFFF"/>
          <w:lang w:val="en-GB"/>
        </w:rPr>
        <w:lastRenderedPageBreak/>
        <w:t xml:space="preserve">The </w:t>
      </w:r>
      <w:proofErr w:type="spellStart"/>
      <w:r w:rsidRPr="00475CFE">
        <w:rPr>
          <w:rFonts w:ascii="Arial" w:eastAsia="Times New Roman" w:hAnsi="Arial" w:cs="Arial"/>
          <w:color w:val="2D2D2D"/>
          <w:sz w:val="22"/>
          <w:szCs w:val="22"/>
          <w:shd w:val="clear" w:color="auto" w:fill="FFFFFF"/>
          <w:lang w:val="en-GB"/>
        </w:rPr>
        <w:t>EPIPorto</w:t>
      </w:r>
      <w:proofErr w:type="spellEnd"/>
      <w:r w:rsidRPr="00475CFE">
        <w:rPr>
          <w:rFonts w:ascii="Arial" w:eastAsia="Times New Roman" w:hAnsi="Arial" w:cs="Arial"/>
          <w:color w:val="2D2D2D"/>
          <w:sz w:val="22"/>
          <w:szCs w:val="22"/>
          <w:shd w:val="clear" w:color="auto" w:fill="FFFFFF"/>
          <w:lang w:val="en-GB"/>
        </w:rPr>
        <w:t xml:space="preserve"> study is a population-based cohort study, with the aim of assessing determinants of health in the adult population of Porto. For this purpose, 2485 community-dwellers aged &gt;18 years, selected in 1999-2003 by random digit phone </w:t>
      </w:r>
      <w:proofErr w:type="spellStart"/>
      <w:r w:rsidRPr="00475CFE">
        <w:rPr>
          <w:rFonts w:ascii="Arial" w:eastAsia="Times New Roman" w:hAnsi="Arial" w:cs="Arial"/>
          <w:color w:val="2D2D2D"/>
          <w:sz w:val="22"/>
          <w:szCs w:val="22"/>
          <w:shd w:val="clear" w:color="auto" w:fill="FFFFFF"/>
          <w:lang w:val="en-GB"/>
        </w:rPr>
        <w:t>dialing</w:t>
      </w:r>
      <w:proofErr w:type="spellEnd"/>
      <w:r w:rsidRPr="00475CFE">
        <w:rPr>
          <w:rFonts w:ascii="Arial" w:eastAsia="Times New Roman" w:hAnsi="Arial" w:cs="Arial"/>
          <w:color w:val="2D2D2D"/>
          <w:sz w:val="22"/>
          <w:szCs w:val="22"/>
          <w:shd w:val="clear" w:color="auto" w:fill="FFFFFF"/>
          <w:lang w:val="en-GB"/>
        </w:rPr>
        <w:t xml:space="preserve">, have been repeatedly evaluated. 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t>Design and recruitment have been previously described.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begin">
          <w:fldData xml:space="preserve">PEVuZE5vdGU+PENpdGU+PEF1dGhvcj5QZXJlaXJhPC9BdXRob3I+PFllYXI+MjAxMjwvWWVhcj48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</w:fldData>
        </w:fldCha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instrText xml:space="preserve"> ADDIN EN.CITE </w:instrTex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begin">
          <w:fldData xml:space="preserve">PEVuZE5vdGU+PENpdGU+PEF1dGhvcj5QZXJlaXJhPC9BdXRob3I+PFllYXI+MjAxMjwvWWVhcj48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</w:fldData>
        </w:fldCha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instrText xml:space="preserve"> ADDIN EN.CITE.DATA </w:instrTex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end"/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separate"/>
      </w:r>
      <w:r w:rsidRPr="00475CFE">
        <w:rPr>
          <w:rFonts w:ascii="Arial" w:hAnsi="Arial" w:cs="Arial"/>
          <w:noProof/>
          <w:color w:val="131413"/>
          <w:sz w:val="22"/>
          <w:szCs w:val="22"/>
          <w:lang w:val="en-GB"/>
        </w:rPr>
        <w:t>[16]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fldChar w:fldCharType="end"/>
      </w:r>
      <w:r w:rsidRPr="00475CFE">
        <w:rPr>
          <w:rFonts w:ascii="Arial" w:eastAsia="Times New Roman" w:hAnsi="Arial" w:cs="Arial"/>
          <w:color w:val="2D2D2D"/>
          <w:sz w:val="22"/>
          <w:szCs w:val="22"/>
          <w:shd w:val="clear" w:color="auto" w:fill="FFFFFF"/>
          <w:lang w:val="en-GB"/>
        </w:rPr>
        <w:t xml:space="preserve"> </w:t>
      </w:r>
      <w:r w:rsidRPr="00475CFE">
        <w:rPr>
          <w:rFonts w:ascii="Arial" w:eastAsia="Times New Roman" w:hAnsi="Arial" w:cs="Arial"/>
          <w:sz w:val="22"/>
          <w:szCs w:val="22"/>
          <w:lang w:val="en-GB"/>
        </w:rPr>
        <w:t>The first evaluation did not include assessment of data on glucocorticoid intake and secondary osteoporosis. The second evaluation, performed in 2005-2006, including 1466 persons, recorded all clinical parameters relevant to FRAX®. We decided to use clinical parameters collected in the second evaluation, thus preferring to have a shorter follow up (mean average 7.43 years) than an incomplete set of predictors. No imputation was used for the missing follow-up time. Baseline DXA evaluation of 198 participants in this cohort was available.</w:t>
      </w:r>
    </w:p>
    <w:p w14:paraId="0A9960F2" w14:textId="77777777" w:rsidR="00912D39" w:rsidRDefault="00912D39" w:rsidP="003C7A63">
      <w:pPr>
        <w:spacing w:line="480" w:lineRule="auto"/>
        <w:jc w:val="both"/>
        <w:rPr>
          <w:rFonts w:ascii="Arial" w:hAnsi="Arial" w:cs="Arial"/>
          <w:color w:val="131413"/>
          <w:sz w:val="22"/>
          <w:szCs w:val="22"/>
          <w:lang w:val="en-GB"/>
        </w:rPr>
      </w:pPr>
      <w:r w:rsidRPr="00475CFE">
        <w:rPr>
          <w:rFonts w:ascii="Arial" w:hAnsi="Arial" w:cs="Arial"/>
          <w:color w:val="131413"/>
          <w:sz w:val="22"/>
          <w:szCs w:val="22"/>
          <w:lang w:val="en-GB"/>
        </w:rPr>
        <w:t>A third follow up visit took place between June 2013 and December of 2014, performed by a well-trained research team and included a questionnaire, especially designed for the purposes of this study</w:t>
      </w:r>
      <w:r>
        <w:rPr>
          <w:rFonts w:ascii="Arial" w:hAnsi="Arial" w:cs="Arial"/>
          <w:color w:val="131413"/>
          <w:sz w:val="22"/>
          <w:szCs w:val="22"/>
          <w:lang w:val="en-GB"/>
        </w:rPr>
        <w:t>.</w:t>
      </w:r>
      <w:r w:rsidRPr="00475CFE">
        <w:rPr>
          <w:rFonts w:ascii="Arial" w:hAnsi="Arial" w:cs="Arial"/>
          <w:color w:val="131413"/>
          <w:sz w:val="22"/>
          <w:szCs w:val="22"/>
          <w:lang w:val="en-GB"/>
        </w:rPr>
        <w:t xml:space="preserve"> </w:t>
      </w:r>
    </w:p>
    <w:p w14:paraId="3928CC3A" w14:textId="77777777" w:rsidR="003E76B7" w:rsidRPr="00475CFE" w:rsidRDefault="003E76B7" w:rsidP="003C7A6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4D5648E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97F8130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B8BF3F7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31B294A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40BDEB6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066BDC70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2F472F3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6EAD24F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1992E842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3E4F15C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10C37E7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CC97ED1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9131953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D2F9C44" w14:textId="77777777" w:rsidR="003E76B7" w:rsidRPr="00475CFE" w:rsidRDefault="003E76B7" w:rsidP="003C7A6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7D4929">
        <w:rPr>
          <w:rFonts w:ascii="Arial" w:hAnsi="Arial" w:cs="Arial"/>
          <w:b/>
          <w:sz w:val="20"/>
          <w:szCs w:val="20"/>
        </w:rPr>
        <w:t>Supplementary</w:t>
      </w:r>
      <w:r w:rsidRPr="00475C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75CFE">
        <w:rPr>
          <w:rFonts w:ascii="Arial" w:hAnsi="Arial" w:cs="Arial"/>
          <w:b/>
          <w:sz w:val="22"/>
          <w:szCs w:val="22"/>
          <w:lang w:val="en-GB"/>
        </w:rPr>
        <w:t>Figure 1.</w:t>
      </w:r>
      <w:proofErr w:type="gramEnd"/>
      <w:r w:rsidRPr="00475C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475CFE">
        <w:rPr>
          <w:rFonts w:ascii="Arial" w:hAnsi="Arial" w:cs="Arial"/>
          <w:b/>
          <w:sz w:val="22"/>
          <w:szCs w:val="22"/>
          <w:lang w:val="en-GB"/>
        </w:rPr>
        <w:t>Disposition of participants in the three prospective cohort studies.</w:t>
      </w:r>
      <w:proofErr w:type="gramEnd"/>
    </w:p>
    <w:p w14:paraId="68AB59E7" w14:textId="77777777" w:rsidR="003C7A63" w:rsidRDefault="003E76B7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  <w:r w:rsidRPr="00475CFE">
        <w:rPr>
          <w:rFonts w:ascii="Arial" w:hAnsi="Arial" w:cs="Arial"/>
          <w:b/>
          <w:noProof/>
          <w:sz w:val="22"/>
          <w:szCs w:val="22"/>
          <w:lang w:eastAsia="en-US"/>
        </w:rPr>
        <w:drawing>
          <wp:inline distT="0" distB="0" distL="0" distR="0" wp14:anchorId="60BE6C8D" wp14:editId="04573784">
            <wp:extent cx="5788325" cy="4261163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ecrã 2016-09-14, às 4.55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899" cy="426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0EC0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2E348D6E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312278D9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1282E60A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42BFD2DE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54096231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0708DFF3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7A842133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39FA9D03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5E663CC0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13358897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07C5BF7B" w14:textId="77777777" w:rsidR="003C7A63" w:rsidRDefault="003C7A63" w:rsidP="003C7A63">
      <w:pPr>
        <w:spacing w:line="480" w:lineRule="auto"/>
        <w:ind w:hanging="709"/>
        <w:jc w:val="both"/>
        <w:rPr>
          <w:rFonts w:ascii="Arial" w:hAnsi="Arial" w:cs="Arial"/>
          <w:b/>
          <w:sz w:val="20"/>
          <w:szCs w:val="20"/>
        </w:rPr>
      </w:pPr>
    </w:p>
    <w:p w14:paraId="2AA20F11" w14:textId="10A4E962" w:rsidR="009662C7" w:rsidRPr="003C7A63" w:rsidRDefault="009662C7" w:rsidP="003C7A63">
      <w:pPr>
        <w:spacing w:line="480" w:lineRule="auto"/>
        <w:ind w:hanging="709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7D4929">
        <w:rPr>
          <w:rFonts w:ascii="Arial" w:hAnsi="Arial" w:cs="Arial"/>
          <w:b/>
          <w:sz w:val="20"/>
          <w:szCs w:val="20"/>
        </w:rPr>
        <w:t>Supplementary Table 1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7D49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D4929">
        <w:rPr>
          <w:rFonts w:ascii="Arial" w:hAnsi="Arial" w:cs="Arial"/>
          <w:sz w:val="20"/>
          <w:szCs w:val="20"/>
        </w:rPr>
        <w:t>Baseline characteristics of participants with and without fracture including FRAX</w:t>
      </w:r>
      <w:r w:rsidRPr="007D4929">
        <w:rPr>
          <w:rFonts w:ascii="Arial" w:hAnsi="Arial" w:cs="Arial"/>
          <w:sz w:val="20"/>
          <w:szCs w:val="20"/>
          <w:vertAlign w:val="superscript"/>
        </w:rPr>
        <w:t>®</w:t>
      </w:r>
      <w:r w:rsidRPr="007D4929">
        <w:rPr>
          <w:rFonts w:ascii="Arial" w:hAnsi="Arial" w:cs="Arial"/>
          <w:sz w:val="20"/>
          <w:szCs w:val="20"/>
        </w:rPr>
        <w:t xml:space="preserve"> risk estimates, there were no missing data for any of the clinical risk factors.</w:t>
      </w:r>
      <w:proofErr w:type="gramEnd"/>
      <w:r w:rsidRPr="007D492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21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1984"/>
        <w:gridCol w:w="1134"/>
      </w:tblGrid>
      <w:tr w:rsidR="009662C7" w:rsidRPr="00304D96" w14:paraId="27C1BC93" w14:textId="77777777" w:rsidTr="00D713B3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28DA71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50DDAC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304D96">
              <w:rPr>
                <w:rFonts w:ascii="Arial" w:hAnsi="Arial" w:cs="Arial"/>
                <w:b/>
                <w:sz w:val="18"/>
                <w:szCs w:val="18"/>
              </w:rPr>
              <w:t>With fracture</w:t>
            </w:r>
          </w:p>
          <w:p w14:paraId="2154C0F0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=178)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7A8C88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r w:rsidRPr="00304D96">
              <w:rPr>
                <w:rFonts w:ascii="Arial" w:hAnsi="Arial" w:cs="Arial"/>
                <w:b/>
                <w:sz w:val="18"/>
                <w:szCs w:val="18"/>
              </w:rPr>
              <w:t>Without fracture</w:t>
            </w:r>
          </w:p>
          <w:p w14:paraId="376E12FA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=2,448)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DAC4EF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304D96">
              <w:rPr>
                <w:rFonts w:ascii="Arial" w:hAnsi="Arial" w:cs="Arial"/>
                <w:b/>
                <w:sz w:val="18"/>
                <w:szCs w:val="18"/>
              </w:rPr>
              <w:t xml:space="preserve"> value</w:t>
            </w:r>
          </w:p>
        </w:tc>
      </w:tr>
      <w:tr w:rsidR="009662C7" w:rsidRPr="00304D96" w14:paraId="5F2705F5" w14:textId="77777777" w:rsidTr="00D713B3">
        <w:tc>
          <w:tcPr>
            <w:tcW w:w="3969" w:type="dxa"/>
            <w:tcBorders>
              <w:top w:val="single" w:sz="4" w:space="0" w:color="auto"/>
            </w:tcBorders>
          </w:tcPr>
          <w:p w14:paraId="4E6C0C46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Gender (Female)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21FAE1A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145 (81.5)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66D8AA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4D96">
              <w:rPr>
                <w:rFonts w:ascii="Arial" w:hAnsi="Arial" w:cs="Arial"/>
                <w:sz w:val="18"/>
                <w:szCs w:val="18"/>
              </w:rPr>
              <w:t>798 (73.4)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92B497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&lt;.01</w:t>
            </w:r>
            <w:proofErr w:type="gramEnd"/>
          </w:p>
        </w:tc>
      </w:tr>
      <w:tr w:rsidR="009662C7" w:rsidRPr="00304D96" w14:paraId="2E7634A9" w14:textId="77777777" w:rsidTr="00D713B3">
        <w:tc>
          <w:tcPr>
            <w:tcW w:w="3969" w:type="dxa"/>
          </w:tcPr>
          <w:p w14:paraId="771C6091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Age</w:t>
            </w:r>
            <w:r w:rsidRPr="00304D96">
              <w:rPr>
                <w:rFonts w:ascii="Arial" w:hAnsi="Arial" w:cs="Arial"/>
                <w:sz w:val="14"/>
                <w:szCs w:val="14"/>
              </w:rPr>
              <w:t>, mean (SD)</w:t>
            </w:r>
          </w:p>
        </w:tc>
        <w:tc>
          <w:tcPr>
            <w:tcW w:w="2127" w:type="dxa"/>
          </w:tcPr>
          <w:p w14:paraId="16B18F58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62 (8.7)</w:t>
            </w:r>
          </w:p>
        </w:tc>
        <w:tc>
          <w:tcPr>
            <w:tcW w:w="1984" w:type="dxa"/>
          </w:tcPr>
          <w:p w14:paraId="34D4CF67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58 (10)</w:t>
            </w:r>
          </w:p>
        </w:tc>
        <w:tc>
          <w:tcPr>
            <w:tcW w:w="1134" w:type="dxa"/>
          </w:tcPr>
          <w:p w14:paraId="6325713E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48D173FC" w14:textId="77777777" w:rsidTr="00D713B3">
        <w:tc>
          <w:tcPr>
            <w:tcW w:w="3969" w:type="dxa"/>
          </w:tcPr>
          <w:p w14:paraId="07CF08C5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 xml:space="preserve">    40-60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2C902B16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68 (38.2)</w:t>
            </w:r>
          </w:p>
        </w:tc>
        <w:tc>
          <w:tcPr>
            <w:tcW w:w="1984" w:type="dxa"/>
          </w:tcPr>
          <w:p w14:paraId="31D1A357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1427 (58.3)</w:t>
            </w:r>
          </w:p>
        </w:tc>
        <w:tc>
          <w:tcPr>
            <w:tcW w:w="1134" w:type="dxa"/>
          </w:tcPr>
          <w:p w14:paraId="52740ADC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23041D67" w14:textId="77777777" w:rsidTr="00D713B3">
        <w:tc>
          <w:tcPr>
            <w:tcW w:w="3969" w:type="dxa"/>
          </w:tcPr>
          <w:p w14:paraId="265B7120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4D96">
              <w:rPr>
                <w:rFonts w:ascii="Arial" w:hAnsi="Arial" w:cs="Arial"/>
                <w:sz w:val="18"/>
                <w:szCs w:val="18"/>
              </w:rPr>
              <w:t xml:space="preserve">  60-75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1D0FA5A7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95 (53.4)</w:t>
            </w:r>
          </w:p>
        </w:tc>
        <w:tc>
          <w:tcPr>
            <w:tcW w:w="1984" w:type="dxa"/>
          </w:tcPr>
          <w:p w14:paraId="7C52C704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855 (34.9)</w:t>
            </w:r>
          </w:p>
        </w:tc>
        <w:tc>
          <w:tcPr>
            <w:tcW w:w="1134" w:type="dxa"/>
          </w:tcPr>
          <w:p w14:paraId="0EA9CC02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20E2D98B" w14:textId="77777777" w:rsidTr="00D713B3">
        <w:tc>
          <w:tcPr>
            <w:tcW w:w="3969" w:type="dxa"/>
          </w:tcPr>
          <w:p w14:paraId="6FE8C67E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 xml:space="preserve">    &gt;75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5013B3F4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15 (8.4)</w:t>
            </w:r>
          </w:p>
        </w:tc>
        <w:tc>
          <w:tcPr>
            <w:tcW w:w="1984" w:type="dxa"/>
          </w:tcPr>
          <w:p w14:paraId="1EEB6BF0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166 (6.8)</w:t>
            </w:r>
          </w:p>
        </w:tc>
        <w:tc>
          <w:tcPr>
            <w:tcW w:w="1134" w:type="dxa"/>
          </w:tcPr>
          <w:p w14:paraId="489896ED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493D7530" w14:textId="77777777" w:rsidTr="00D713B3">
        <w:tc>
          <w:tcPr>
            <w:tcW w:w="3969" w:type="dxa"/>
          </w:tcPr>
          <w:p w14:paraId="39C05C00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BMI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23962FD0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26.9 (4.5)</w:t>
            </w:r>
          </w:p>
        </w:tc>
        <w:tc>
          <w:tcPr>
            <w:tcW w:w="1984" w:type="dxa"/>
          </w:tcPr>
          <w:p w14:paraId="53B500CC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27.3 (4.4)</w:t>
            </w:r>
          </w:p>
        </w:tc>
        <w:tc>
          <w:tcPr>
            <w:tcW w:w="1134" w:type="dxa"/>
          </w:tcPr>
          <w:p w14:paraId="61EC81D3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9662C7" w:rsidRPr="00304D96" w14:paraId="70893013" w14:textId="77777777" w:rsidTr="00D713B3">
        <w:tc>
          <w:tcPr>
            <w:tcW w:w="3969" w:type="dxa"/>
          </w:tcPr>
          <w:p w14:paraId="55C57DBD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Previous Fracture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1475AA8F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72 (40.4)</w:t>
            </w:r>
          </w:p>
        </w:tc>
        <w:tc>
          <w:tcPr>
            <w:tcW w:w="1984" w:type="dxa"/>
          </w:tcPr>
          <w:p w14:paraId="011CDCD6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440 (18.0)</w:t>
            </w:r>
          </w:p>
        </w:tc>
        <w:tc>
          <w:tcPr>
            <w:tcW w:w="1134" w:type="dxa"/>
          </w:tcPr>
          <w:p w14:paraId="4B50A9A6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33070EC6" w14:textId="77777777" w:rsidTr="00D713B3">
        <w:tc>
          <w:tcPr>
            <w:tcW w:w="3969" w:type="dxa"/>
          </w:tcPr>
          <w:p w14:paraId="5A064E59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Parent Hip fractures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3EF89981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21 (11.8)</w:t>
            </w:r>
          </w:p>
        </w:tc>
        <w:tc>
          <w:tcPr>
            <w:tcW w:w="1984" w:type="dxa"/>
          </w:tcPr>
          <w:p w14:paraId="6225B64A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170 (6.9)</w:t>
            </w:r>
          </w:p>
        </w:tc>
        <w:tc>
          <w:tcPr>
            <w:tcW w:w="1134" w:type="dxa"/>
          </w:tcPr>
          <w:p w14:paraId="5BCF1936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4077E970" w14:textId="77777777" w:rsidTr="00D713B3">
        <w:tc>
          <w:tcPr>
            <w:tcW w:w="3969" w:type="dxa"/>
          </w:tcPr>
          <w:p w14:paraId="30CE99D2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Current smoking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00EFE99B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37 (20.8)</w:t>
            </w:r>
          </w:p>
        </w:tc>
        <w:tc>
          <w:tcPr>
            <w:tcW w:w="1984" w:type="dxa"/>
          </w:tcPr>
          <w:p w14:paraId="0EE18A65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575 (23.5)</w:t>
            </w:r>
          </w:p>
        </w:tc>
        <w:tc>
          <w:tcPr>
            <w:tcW w:w="1134" w:type="dxa"/>
          </w:tcPr>
          <w:p w14:paraId="7D87092C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9662C7" w:rsidRPr="00304D96" w14:paraId="60A3F8B2" w14:textId="77777777" w:rsidTr="00D713B3">
        <w:tc>
          <w:tcPr>
            <w:tcW w:w="3969" w:type="dxa"/>
          </w:tcPr>
          <w:p w14:paraId="53434713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Glucocorticoids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570A987D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35 (19.7)</w:t>
            </w:r>
          </w:p>
        </w:tc>
        <w:tc>
          <w:tcPr>
            <w:tcW w:w="1984" w:type="dxa"/>
          </w:tcPr>
          <w:p w14:paraId="4C88E587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147 (6.0)</w:t>
            </w:r>
          </w:p>
        </w:tc>
        <w:tc>
          <w:tcPr>
            <w:tcW w:w="1134" w:type="dxa"/>
          </w:tcPr>
          <w:p w14:paraId="3ADA3805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38569EBE" w14:textId="77777777" w:rsidTr="00D713B3">
        <w:tc>
          <w:tcPr>
            <w:tcW w:w="3969" w:type="dxa"/>
          </w:tcPr>
          <w:p w14:paraId="0D88BF8D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Rheumatoid arthritis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52293380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21 (11.8)</w:t>
            </w:r>
          </w:p>
        </w:tc>
        <w:tc>
          <w:tcPr>
            <w:tcW w:w="1984" w:type="dxa"/>
          </w:tcPr>
          <w:p w14:paraId="11A9A6F2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107 (4.4)</w:t>
            </w:r>
          </w:p>
        </w:tc>
        <w:tc>
          <w:tcPr>
            <w:tcW w:w="1134" w:type="dxa"/>
          </w:tcPr>
          <w:p w14:paraId="3476458A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736B6319" w14:textId="77777777" w:rsidTr="00D713B3">
        <w:tc>
          <w:tcPr>
            <w:tcW w:w="3969" w:type="dxa"/>
          </w:tcPr>
          <w:p w14:paraId="6E14B02B" w14:textId="77777777" w:rsidR="009662C7" w:rsidRPr="00304D96" w:rsidRDefault="009662C7" w:rsidP="003C7A63">
            <w:pPr>
              <w:tabs>
                <w:tab w:val="left" w:pos="3042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Secondary osteoporosis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2AB756F6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66 (37.1)</w:t>
            </w:r>
          </w:p>
        </w:tc>
        <w:tc>
          <w:tcPr>
            <w:tcW w:w="1984" w:type="dxa"/>
          </w:tcPr>
          <w:p w14:paraId="568FE03A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573 (23.4)</w:t>
            </w:r>
          </w:p>
        </w:tc>
        <w:tc>
          <w:tcPr>
            <w:tcW w:w="1134" w:type="dxa"/>
          </w:tcPr>
          <w:p w14:paraId="6899E823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4D0BED2D" w14:textId="77777777" w:rsidTr="00D713B3">
        <w:tc>
          <w:tcPr>
            <w:tcW w:w="3969" w:type="dxa"/>
          </w:tcPr>
          <w:p w14:paraId="79C5B4DC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 xml:space="preserve">Alcohol 3 or more </w:t>
            </w: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units</w:t>
            </w:r>
            <w:proofErr w:type="gramEnd"/>
            <w:r w:rsidRPr="00304D96">
              <w:rPr>
                <w:rFonts w:ascii="Arial" w:hAnsi="Arial" w:cs="Arial"/>
                <w:sz w:val="18"/>
                <w:szCs w:val="18"/>
              </w:rPr>
              <w:t xml:space="preserve"> day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30B842A6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41 (23)</w:t>
            </w:r>
          </w:p>
        </w:tc>
        <w:tc>
          <w:tcPr>
            <w:tcW w:w="1984" w:type="dxa"/>
          </w:tcPr>
          <w:p w14:paraId="27E1B558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488 (19.9)</w:t>
            </w:r>
          </w:p>
        </w:tc>
        <w:tc>
          <w:tcPr>
            <w:tcW w:w="1134" w:type="dxa"/>
          </w:tcPr>
          <w:p w14:paraId="18F6BF0C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9662C7" w:rsidRPr="00304D96" w14:paraId="768BEDF3" w14:textId="77777777" w:rsidTr="00D713B3">
        <w:tc>
          <w:tcPr>
            <w:tcW w:w="3969" w:type="dxa"/>
          </w:tcPr>
          <w:p w14:paraId="5D96AB91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Femoral Neck T Score</w:t>
            </w:r>
            <w:r w:rsidRPr="00304D96">
              <w:rPr>
                <w:rFonts w:ascii="Arial" w:hAnsi="Arial" w:cs="Arial"/>
                <w:sz w:val="14"/>
                <w:szCs w:val="14"/>
              </w:rPr>
              <w:t>, mean (SD)</w:t>
            </w:r>
            <w:r w:rsidRPr="00304D9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127" w:type="dxa"/>
          </w:tcPr>
          <w:p w14:paraId="7840B9CE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-2.31(1.1)</w:t>
            </w:r>
          </w:p>
        </w:tc>
        <w:tc>
          <w:tcPr>
            <w:tcW w:w="1984" w:type="dxa"/>
          </w:tcPr>
          <w:p w14:paraId="662515C2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-1.48 (1.3)</w:t>
            </w:r>
          </w:p>
        </w:tc>
        <w:tc>
          <w:tcPr>
            <w:tcW w:w="1134" w:type="dxa"/>
          </w:tcPr>
          <w:p w14:paraId="37C0B27B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  <w:r w:rsidRPr="00304D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2C7" w:rsidRPr="00304D96" w14:paraId="714EABDB" w14:textId="77777777" w:rsidTr="00D713B3">
        <w:tc>
          <w:tcPr>
            <w:tcW w:w="3969" w:type="dxa"/>
          </w:tcPr>
          <w:p w14:paraId="7134783D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4D96">
              <w:rPr>
                <w:rFonts w:ascii="Arial" w:hAnsi="Arial" w:cs="Arial"/>
                <w:sz w:val="18"/>
                <w:szCs w:val="18"/>
              </w:rPr>
              <w:t xml:space="preserve"> ≥ - 1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04F5AAD5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15 (10.8)</w:t>
            </w:r>
          </w:p>
        </w:tc>
        <w:tc>
          <w:tcPr>
            <w:tcW w:w="1984" w:type="dxa"/>
          </w:tcPr>
          <w:p w14:paraId="5FA76BCB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580 (33)</w:t>
            </w:r>
          </w:p>
        </w:tc>
        <w:tc>
          <w:tcPr>
            <w:tcW w:w="1134" w:type="dxa"/>
          </w:tcPr>
          <w:p w14:paraId="34DF305A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1DDE5D71" w14:textId="77777777" w:rsidTr="00D713B3">
        <w:tc>
          <w:tcPr>
            <w:tcW w:w="3969" w:type="dxa"/>
          </w:tcPr>
          <w:p w14:paraId="7223F57B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4D96">
              <w:rPr>
                <w:rFonts w:ascii="Arial" w:hAnsi="Arial" w:cs="Arial"/>
                <w:sz w:val="18"/>
                <w:szCs w:val="18"/>
              </w:rPr>
              <w:t xml:space="preserve"> - 2,5 &lt; T &lt; -1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688D5283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64 (46)</w:t>
            </w:r>
          </w:p>
        </w:tc>
        <w:tc>
          <w:tcPr>
            <w:tcW w:w="1984" w:type="dxa"/>
          </w:tcPr>
          <w:p w14:paraId="10A35BE9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803 (45.7)</w:t>
            </w:r>
          </w:p>
        </w:tc>
        <w:tc>
          <w:tcPr>
            <w:tcW w:w="1134" w:type="dxa"/>
          </w:tcPr>
          <w:p w14:paraId="6609B7D5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5366E040" w14:textId="77777777" w:rsidTr="00D713B3">
        <w:tc>
          <w:tcPr>
            <w:tcW w:w="3969" w:type="dxa"/>
          </w:tcPr>
          <w:p w14:paraId="76B38393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4D96">
              <w:rPr>
                <w:rFonts w:ascii="Arial" w:hAnsi="Arial" w:cs="Arial"/>
                <w:sz w:val="18"/>
                <w:szCs w:val="18"/>
              </w:rPr>
              <w:t xml:space="preserve"> ≤ -2,5</w:t>
            </w:r>
            <w:r w:rsidRPr="00304D96">
              <w:rPr>
                <w:rFonts w:ascii="Arial" w:hAnsi="Arial" w:cs="Arial"/>
                <w:sz w:val="14"/>
                <w:szCs w:val="14"/>
              </w:rPr>
              <w:t>, n (%)</w:t>
            </w:r>
          </w:p>
        </w:tc>
        <w:tc>
          <w:tcPr>
            <w:tcW w:w="2127" w:type="dxa"/>
          </w:tcPr>
          <w:p w14:paraId="5FCBA233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60 (43.2)</w:t>
            </w:r>
          </w:p>
        </w:tc>
        <w:tc>
          <w:tcPr>
            <w:tcW w:w="1984" w:type="dxa"/>
          </w:tcPr>
          <w:p w14:paraId="221A6BDA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375 (21.3)</w:t>
            </w:r>
          </w:p>
        </w:tc>
        <w:tc>
          <w:tcPr>
            <w:tcW w:w="1134" w:type="dxa"/>
          </w:tcPr>
          <w:p w14:paraId="6AA83E31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404A0F20" w14:textId="77777777" w:rsidTr="00D713B3">
        <w:tc>
          <w:tcPr>
            <w:tcW w:w="3969" w:type="dxa"/>
          </w:tcPr>
          <w:p w14:paraId="2CB5DA28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04D96">
              <w:rPr>
                <w:rFonts w:ascii="Arial" w:hAnsi="Arial" w:cs="Arial"/>
                <w:sz w:val="18"/>
                <w:szCs w:val="18"/>
              </w:rPr>
              <w:t>Median 10-year probability</w:t>
            </w:r>
            <w:r w:rsidRPr="00304D96">
              <w:rPr>
                <w:rFonts w:ascii="Arial" w:hAnsi="Arial" w:cs="Arial"/>
                <w:sz w:val="14"/>
                <w:szCs w:val="14"/>
              </w:rPr>
              <w:t>, median (IQR)</w:t>
            </w:r>
          </w:p>
        </w:tc>
        <w:tc>
          <w:tcPr>
            <w:tcW w:w="2127" w:type="dxa"/>
          </w:tcPr>
          <w:p w14:paraId="577F0161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64BFB4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1B3196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C7" w:rsidRPr="00304D96" w14:paraId="32B88E37" w14:textId="77777777" w:rsidTr="00D713B3">
        <w:tc>
          <w:tcPr>
            <w:tcW w:w="3969" w:type="dxa"/>
          </w:tcPr>
          <w:p w14:paraId="74330AF9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04D96">
              <w:rPr>
                <w:rFonts w:ascii="Arial" w:hAnsi="Arial" w:cs="Arial"/>
                <w:sz w:val="18"/>
                <w:szCs w:val="18"/>
              </w:rPr>
              <w:t>MOP without BMD</w:t>
            </w:r>
          </w:p>
        </w:tc>
        <w:tc>
          <w:tcPr>
            <w:tcW w:w="2127" w:type="dxa"/>
          </w:tcPr>
          <w:p w14:paraId="6538F62E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6.7 (3.9-10)</w:t>
            </w:r>
          </w:p>
        </w:tc>
        <w:tc>
          <w:tcPr>
            <w:tcW w:w="1984" w:type="dxa"/>
          </w:tcPr>
          <w:p w14:paraId="55492923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2.7 (1.6-5.3)</w:t>
            </w:r>
          </w:p>
        </w:tc>
        <w:tc>
          <w:tcPr>
            <w:tcW w:w="1134" w:type="dxa"/>
          </w:tcPr>
          <w:p w14:paraId="72BC092A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0D295A6D" w14:textId="77777777" w:rsidTr="00D713B3">
        <w:tc>
          <w:tcPr>
            <w:tcW w:w="3969" w:type="dxa"/>
          </w:tcPr>
          <w:p w14:paraId="6D34947E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04D96">
              <w:rPr>
                <w:rFonts w:ascii="Arial" w:hAnsi="Arial" w:cs="Arial"/>
                <w:sz w:val="18"/>
                <w:szCs w:val="18"/>
              </w:rPr>
              <w:t>MOP with BMD</w:t>
            </w:r>
          </w:p>
        </w:tc>
        <w:tc>
          <w:tcPr>
            <w:tcW w:w="2127" w:type="dxa"/>
          </w:tcPr>
          <w:p w14:paraId="15318EAD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8.9 (5.2-14.0)</w:t>
            </w:r>
          </w:p>
        </w:tc>
        <w:tc>
          <w:tcPr>
            <w:tcW w:w="1984" w:type="dxa"/>
          </w:tcPr>
          <w:p w14:paraId="293B41B7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3.2 (1.8-6.2)</w:t>
            </w:r>
          </w:p>
        </w:tc>
        <w:tc>
          <w:tcPr>
            <w:tcW w:w="1134" w:type="dxa"/>
          </w:tcPr>
          <w:p w14:paraId="6154CC2A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075DEB88" w14:textId="77777777" w:rsidTr="00D713B3">
        <w:tc>
          <w:tcPr>
            <w:tcW w:w="3969" w:type="dxa"/>
          </w:tcPr>
          <w:p w14:paraId="067EC20C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04D96">
              <w:rPr>
                <w:rFonts w:ascii="Arial" w:hAnsi="Arial" w:cs="Arial"/>
                <w:sz w:val="18"/>
                <w:szCs w:val="18"/>
              </w:rPr>
              <w:t>HIP without BMD</w:t>
            </w:r>
          </w:p>
        </w:tc>
        <w:tc>
          <w:tcPr>
            <w:tcW w:w="2127" w:type="dxa"/>
          </w:tcPr>
          <w:p w14:paraId="47E6ED8C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1.6 (0.7-3.9)</w:t>
            </w:r>
          </w:p>
        </w:tc>
        <w:tc>
          <w:tcPr>
            <w:tcW w:w="1984" w:type="dxa"/>
          </w:tcPr>
          <w:p w14:paraId="0133EDA1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0.5 (0.2-1.5)</w:t>
            </w:r>
          </w:p>
        </w:tc>
        <w:tc>
          <w:tcPr>
            <w:tcW w:w="1134" w:type="dxa"/>
          </w:tcPr>
          <w:p w14:paraId="402FDDD4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  <w:tr w:rsidR="009662C7" w:rsidRPr="00304D96" w14:paraId="291DF4A0" w14:textId="77777777" w:rsidTr="00D713B3">
        <w:tc>
          <w:tcPr>
            <w:tcW w:w="3969" w:type="dxa"/>
          </w:tcPr>
          <w:p w14:paraId="3921735C" w14:textId="77777777" w:rsidR="009662C7" w:rsidRPr="00304D96" w:rsidRDefault="009662C7" w:rsidP="003C7A6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04D96">
              <w:rPr>
                <w:rFonts w:ascii="Arial" w:hAnsi="Arial" w:cs="Arial"/>
                <w:sz w:val="18"/>
                <w:szCs w:val="18"/>
              </w:rPr>
              <w:t>HIP with BMD</w:t>
            </w:r>
          </w:p>
        </w:tc>
        <w:tc>
          <w:tcPr>
            <w:tcW w:w="2127" w:type="dxa"/>
          </w:tcPr>
          <w:p w14:paraId="535357AE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2.8 (1.0 -6.8)</w:t>
            </w:r>
          </w:p>
        </w:tc>
        <w:tc>
          <w:tcPr>
            <w:tcW w:w="1984" w:type="dxa"/>
          </w:tcPr>
          <w:p w14:paraId="3F577E16" w14:textId="77777777" w:rsidR="009662C7" w:rsidRPr="00304D96" w:rsidRDefault="009662C7" w:rsidP="003C7A63">
            <w:pPr>
              <w:spacing w:line="480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D96">
              <w:rPr>
                <w:rFonts w:ascii="Arial" w:hAnsi="Arial" w:cs="Arial"/>
                <w:color w:val="000000"/>
                <w:sz w:val="18"/>
                <w:szCs w:val="18"/>
              </w:rPr>
              <w:t>0.6 (0.2-2.1)</w:t>
            </w:r>
          </w:p>
        </w:tc>
        <w:tc>
          <w:tcPr>
            <w:tcW w:w="1134" w:type="dxa"/>
          </w:tcPr>
          <w:p w14:paraId="1A8CDD99" w14:textId="77777777" w:rsidR="009662C7" w:rsidRPr="00304D96" w:rsidRDefault="009662C7" w:rsidP="003C7A63">
            <w:pPr>
              <w:spacing w:line="48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4D96">
              <w:rPr>
                <w:rFonts w:ascii="Arial" w:hAnsi="Arial" w:cs="Arial"/>
                <w:sz w:val="18"/>
                <w:szCs w:val="18"/>
              </w:rPr>
              <w:t>&lt;.001</w:t>
            </w:r>
            <w:proofErr w:type="gramEnd"/>
          </w:p>
        </w:tc>
      </w:tr>
    </w:tbl>
    <w:p w14:paraId="7D3E60E2" w14:textId="77777777" w:rsidR="009662C7" w:rsidRPr="008A27D1" w:rsidRDefault="009662C7" w:rsidP="003C7A63">
      <w:pPr>
        <w:spacing w:line="480" w:lineRule="auto"/>
        <w:rPr>
          <w:sz w:val="16"/>
          <w:szCs w:val="16"/>
        </w:rPr>
      </w:pPr>
      <w:r w:rsidRPr="008A27D1">
        <w:rPr>
          <w:rFonts w:ascii="Arial" w:hAnsi="Arial" w:cs="Arial"/>
          <w:sz w:val="16"/>
          <w:szCs w:val="16"/>
        </w:rPr>
        <w:t># Femoral Neck BMD was available for 1897 participants.</w:t>
      </w:r>
    </w:p>
    <w:p w14:paraId="5D17B83C" w14:textId="77777777" w:rsidR="009662C7" w:rsidRDefault="009662C7" w:rsidP="003C7A63">
      <w:pPr>
        <w:spacing w:line="480" w:lineRule="auto"/>
      </w:pPr>
    </w:p>
    <w:p w14:paraId="484F951E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0188C05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8C079C7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14DDB127" w14:textId="77777777" w:rsidR="003C7A63" w:rsidRPr="00583F78" w:rsidRDefault="003C7A63" w:rsidP="003C7A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D4929">
        <w:rPr>
          <w:rFonts w:ascii="Arial" w:hAnsi="Arial" w:cs="Arial"/>
          <w:b/>
          <w:sz w:val="20"/>
          <w:szCs w:val="20"/>
        </w:rPr>
        <w:t xml:space="preserve">Supplementary </w:t>
      </w:r>
      <w:r w:rsidRPr="00583F78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2</w:t>
      </w:r>
      <w:r w:rsidRPr="00583F78">
        <w:rPr>
          <w:rFonts w:ascii="Arial" w:hAnsi="Arial" w:cs="Arial"/>
          <w:sz w:val="20"/>
          <w:szCs w:val="20"/>
        </w:rPr>
        <w:t>.</w:t>
      </w:r>
      <w:proofErr w:type="gramEnd"/>
      <w:r w:rsidRPr="00583F78">
        <w:rPr>
          <w:rFonts w:ascii="Arial" w:hAnsi="Arial" w:cs="Arial"/>
          <w:sz w:val="20"/>
          <w:szCs w:val="20"/>
        </w:rPr>
        <w:t xml:space="preserve"> Comparison of ROC curves for 10-year probability of a major osteoporotic fracture (both genders) estimated by FRAX</w:t>
      </w:r>
      <w:r w:rsidRPr="00583F78">
        <w:rPr>
          <w:rFonts w:ascii="Arial" w:hAnsi="Arial" w:cs="Arial"/>
          <w:sz w:val="20"/>
          <w:szCs w:val="20"/>
          <w:vertAlign w:val="superscript"/>
        </w:rPr>
        <w:t>®</w:t>
      </w:r>
      <w:r w:rsidRPr="00583F78">
        <w:rPr>
          <w:rFonts w:ascii="Arial" w:hAnsi="Arial" w:cs="Arial"/>
          <w:sz w:val="20"/>
          <w:szCs w:val="20"/>
        </w:rPr>
        <w:t xml:space="preserve"> with and without BMD and for DXA alone.</w:t>
      </w:r>
    </w:p>
    <w:p w14:paraId="7203B2A1" w14:textId="77777777" w:rsidR="009662C7" w:rsidRDefault="009662C7" w:rsidP="003C7A63">
      <w:pPr>
        <w:spacing w:line="480" w:lineRule="auto"/>
        <w:rPr>
          <w:rFonts w:ascii="Times New Roman" w:hAnsi="Times New Roman" w:cs="Times New Roman"/>
          <w:b/>
        </w:rPr>
      </w:pPr>
    </w:p>
    <w:p w14:paraId="12E8CCB7" w14:textId="77777777" w:rsidR="009662C7" w:rsidRDefault="009662C7" w:rsidP="003C7A63">
      <w:pPr>
        <w:spacing w:line="480" w:lineRule="auto"/>
      </w:pPr>
      <w:r>
        <w:t xml:space="preserve">                             </w:t>
      </w:r>
      <w:r>
        <w:rPr>
          <w:noProof/>
          <w:lang w:eastAsia="en-US"/>
        </w:rPr>
        <w:drawing>
          <wp:inline distT="0" distB="0" distL="0" distR="0" wp14:anchorId="20F971B6" wp14:editId="1C8C13C8">
            <wp:extent cx="3829014" cy="3444240"/>
            <wp:effectExtent l="25400" t="25400" r="32385" b="355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r="18205" b="3212"/>
                    <a:stretch/>
                  </pic:blipFill>
                  <pic:spPr bwMode="auto">
                    <a:xfrm>
                      <a:off x="0" y="0"/>
                      <a:ext cx="3829050" cy="3444272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6181473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B0C9897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D46B5C4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CB80308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1A593A27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C18A163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07F44E27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266D2F5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DB7E1F5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126475DC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30A2428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719E4F4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77136FD" w14:textId="77777777" w:rsidR="003C7A63" w:rsidRDefault="003C7A63" w:rsidP="003C7A6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13AC157" w14:textId="77777777" w:rsidR="003C7A63" w:rsidRPr="00583F78" w:rsidRDefault="003C7A63" w:rsidP="003C7A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4929">
        <w:rPr>
          <w:rFonts w:ascii="Arial" w:hAnsi="Arial" w:cs="Arial"/>
          <w:b/>
          <w:sz w:val="20"/>
          <w:szCs w:val="20"/>
        </w:rPr>
        <w:t xml:space="preserve">Supplementary </w:t>
      </w:r>
      <w:r>
        <w:rPr>
          <w:rFonts w:ascii="Arial" w:hAnsi="Arial" w:cs="Arial"/>
          <w:b/>
          <w:sz w:val="20"/>
          <w:szCs w:val="20"/>
        </w:rPr>
        <w:t>Figure 3</w:t>
      </w:r>
      <w:r w:rsidRPr="00583F78">
        <w:rPr>
          <w:rFonts w:ascii="Arial" w:hAnsi="Arial" w:cs="Arial"/>
          <w:b/>
          <w:sz w:val="20"/>
          <w:szCs w:val="20"/>
        </w:rPr>
        <w:t>.</w:t>
      </w:r>
      <w:r w:rsidRPr="00583F78">
        <w:rPr>
          <w:rFonts w:ascii="Arial" w:hAnsi="Arial" w:cs="Arial"/>
          <w:sz w:val="20"/>
          <w:szCs w:val="20"/>
        </w:rPr>
        <w:t xml:space="preserve"> Comparison of ROC curves for 10-year probability of hip fracture (both genders) estimate by FRAX</w:t>
      </w:r>
      <w:r w:rsidRPr="00583F78">
        <w:rPr>
          <w:rFonts w:ascii="Arial" w:hAnsi="Arial" w:cs="Arial"/>
          <w:sz w:val="20"/>
          <w:szCs w:val="20"/>
          <w:vertAlign w:val="superscript"/>
        </w:rPr>
        <w:t>®</w:t>
      </w:r>
      <w:r w:rsidRPr="00583F78">
        <w:rPr>
          <w:rFonts w:ascii="Arial" w:hAnsi="Arial" w:cs="Arial"/>
          <w:sz w:val="20"/>
          <w:szCs w:val="20"/>
        </w:rPr>
        <w:t xml:space="preserve"> with and without BMD and for DXA alone.</w:t>
      </w:r>
    </w:p>
    <w:p w14:paraId="5CC249A2" w14:textId="77777777" w:rsidR="009662C7" w:rsidRDefault="009662C7" w:rsidP="003C7A63">
      <w:pPr>
        <w:spacing w:line="480" w:lineRule="auto"/>
      </w:pPr>
    </w:p>
    <w:p w14:paraId="248FC251" w14:textId="77777777" w:rsidR="009662C7" w:rsidRDefault="009662C7" w:rsidP="003C7A63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noProof/>
          <w:lang w:eastAsia="en-US"/>
        </w:rPr>
        <w:drawing>
          <wp:inline distT="0" distB="0" distL="0" distR="0" wp14:anchorId="44DFB021" wp14:editId="5474BEF9">
            <wp:extent cx="3768090" cy="3615993"/>
            <wp:effectExtent l="25400" t="25400" r="16510" b="1651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6818" r="18564" b="2597"/>
                    <a:stretch/>
                  </pic:blipFill>
                  <pic:spPr bwMode="auto">
                    <a:xfrm>
                      <a:off x="0" y="0"/>
                      <a:ext cx="3769668" cy="361750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25415" w14:textId="77777777" w:rsidR="009662C7" w:rsidRDefault="009662C7" w:rsidP="003C7A63">
      <w:pPr>
        <w:spacing w:line="480" w:lineRule="auto"/>
      </w:pPr>
    </w:p>
    <w:p w14:paraId="0F306D84" w14:textId="77777777" w:rsidR="009662C7" w:rsidRDefault="009662C7" w:rsidP="003C7A63">
      <w:pPr>
        <w:spacing w:line="480" w:lineRule="auto"/>
        <w:rPr>
          <w:rFonts w:ascii="Times New Roman" w:hAnsi="Times New Roman" w:cs="Times New Roman"/>
          <w:b/>
        </w:rPr>
      </w:pPr>
    </w:p>
    <w:p w14:paraId="4FE62A28" w14:textId="77777777" w:rsidR="009662C7" w:rsidRDefault="009662C7" w:rsidP="003C7A63">
      <w:pPr>
        <w:spacing w:line="480" w:lineRule="auto"/>
      </w:pPr>
    </w:p>
    <w:p w14:paraId="4BEC2C21" w14:textId="77777777" w:rsidR="009662C7" w:rsidRPr="00324E9D" w:rsidRDefault="009662C7" w:rsidP="003C7A63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E65C189" w14:textId="77777777" w:rsidR="009662C7" w:rsidRDefault="009662C7" w:rsidP="003C7A63">
      <w:pPr>
        <w:spacing w:line="480" w:lineRule="auto"/>
      </w:pPr>
    </w:p>
    <w:sectPr w:rsidR="009662C7" w:rsidSect="005C41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39"/>
    <w:rsid w:val="003C7A63"/>
    <w:rsid w:val="003E76B7"/>
    <w:rsid w:val="005C4196"/>
    <w:rsid w:val="00705E7D"/>
    <w:rsid w:val="00912D39"/>
    <w:rsid w:val="009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0E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C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C7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C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C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718</Words>
  <Characters>4093</Characters>
  <Application>Microsoft Macintosh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2016-12-23T09:17:00Z</dcterms:created>
  <dcterms:modified xsi:type="dcterms:W3CDTF">2016-12-23T09:58:00Z</dcterms:modified>
</cp:coreProperties>
</file>