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78" w:rsidRDefault="00371F78" w:rsidP="00371F78">
      <w:pPr>
        <w:rPr>
          <w:b/>
        </w:rPr>
      </w:pPr>
      <w:r>
        <w:rPr>
          <w:b/>
        </w:rPr>
        <w:t>Table S1: Characteristics of patients starting a second and third</w:t>
      </w:r>
      <w:r w:rsidRPr="005D22B1">
        <w:rPr>
          <w:b/>
        </w:rPr>
        <w:t xml:space="preserve"> TNFi</w:t>
      </w:r>
    </w:p>
    <w:tbl>
      <w:tblPr>
        <w:tblStyle w:val="Tabellrutenett"/>
        <w:tblW w:w="4179" w:type="pct"/>
        <w:tblLayout w:type="fixed"/>
        <w:tblLook w:val="04A0"/>
      </w:tblPr>
      <w:tblGrid>
        <w:gridCol w:w="1608"/>
        <w:gridCol w:w="512"/>
        <w:gridCol w:w="3257"/>
        <w:gridCol w:w="3254"/>
        <w:gridCol w:w="3254"/>
      </w:tblGrid>
      <w:tr w:rsidR="00371F78" w:rsidRPr="00BC784A" w:rsidTr="00371F78">
        <w:trPr>
          <w:trHeight w:val="113"/>
        </w:trPr>
        <w:tc>
          <w:tcPr>
            <w:tcW w:w="2261" w:type="pct"/>
            <w:gridSpan w:val="3"/>
            <w:tcBorders>
              <w:bottom w:val="single" w:sz="4" w:space="0" w:color="auto"/>
            </w:tcBorders>
            <w:vAlign w:val="center"/>
          </w:tcPr>
          <w:p w:rsidR="00371F78" w:rsidRPr="00D76261" w:rsidRDefault="00371F78" w:rsidP="00E44FD4"/>
        </w:tc>
        <w:tc>
          <w:tcPr>
            <w:tcW w:w="1369" w:type="pct"/>
          </w:tcPr>
          <w:p w:rsidR="00371F78" w:rsidRPr="00D76261" w:rsidRDefault="00371F78" w:rsidP="00E44FD4">
            <w:pPr>
              <w:jc w:val="center"/>
              <w:rPr>
                <w:b/>
              </w:rPr>
            </w:pPr>
            <w:r>
              <w:rPr>
                <w:b/>
              </w:rPr>
              <w:t xml:space="preserve">Second </w:t>
            </w:r>
            <w:r w:rsidRPr="00D76261">
              <w:rPr>
                <w:b/>
              </w:rPr>
              <w:t>TNFi</w:t>
            </w:r>
          </w:p>
          <w:p w:rsidR="00371F78" w:rsidRPr="00D76261" w:rsidRDefault="00371F78" w:rsidP="00E44FD4">
            <w:pPr>
              <w:jc w:val="center"/>
              <w:rPr>
                <w:b/>
              </w:rPr>
            </w:pPr>
            <w:r w:rsidRPr="00D76261">
              <w:rPr>
                <w:b/>
              </w:rPr>
              <w:t>N=270</w:t>
            </w:r>
          </w:p>
        </w:tc>
        <w:tc>
          <w:tcPr>
            <w:tcW w:w="1369" w:type="pct"/>
          </w:tcPr>
          <w:p w:rsidR="00371F78" w:rsidRPr="00D76261" w:rsidRDefault="00371F78" w:rsidP="00E44FD4">
            <w:pPr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D76261">
              <w:rPr>
                <w:b/>
              </w:rPr>
              <w:t xml:space="preserve"> TNFi</w:t>
            </w:r>
          </w:p>
          <w:p w:rsidR="00371F78" w:rsidRPr="00D76261" w:rsidRDefault="00371F78" w:rsidP="00E44FD4">
            <w:pPr>
              <w:jc w:val="center"/>
              <w:rPr>
                <w:b/>
              </w:rPr>
            </w:pPr>
            <w:r w:rsidRPr="00D76261">
              <w:rPr>
                <w:b/>
              </w:rPr>
              <w:t>N=111</w:t>
            </w:r>
          </w:p>
        </w:tc>
      </w:tr>
      <w:tr w:rsidR="00371F78" w:rsidRPr="00060868" w:rsidTr="00371F78">
        <w:trPr>
          <w:trHeight w:val="113"/>
        </w:trPr>
        <w:tc>
          <w:tcPr>
            <w:tcW w:w="2261" w:type="pct"/>
            <w:gridSpan w:val="3"/>
            <w:vAlign w:val="center"/>
          </w:tcPr>
          <w:p w:rsidR="00371F78" w:rsidRPr="00D76261" w:rsidRDefault="00371F78" w:rsidP="00E44FD4">
            <w:r w:rsidRPr="00D76261">
              <w:t xml:space="preserve">Females (n (%))                  </w:t>
            </w:r>
          </w:p>
        </w:tc>
        <w:tc>
          <w:tcPr>
            <w:tcW w:w="1369" w:type="pct"/>
            <w:vAlign w:val="center"/>
          </w:tcPr>
          <w:p w:rsidR="00371F78" w:rsidRPr="00D76261" w:rsidRDefault="00371F78" w:rsidP="00E44FD4">
            <w:pPr>
              <w:jc w:val="center"/>
            </w:pPr>
            <w:r w:rsidRPr="00D76261">
              <w:t xml:space="preserve"> 164 (60.7) </w:t>
            </w:r>
          </w:p>
        </w:tc>
        <w:tc>
          <w:tcPr>
            <w:tcW w:w="1369" w:type="pct"/>
            <w:vAlign w:val="center"/>
          </w:tcPr>
          <w:p w:rsidR="00371F78" w:rsidRPr="00D76261" w:rsidRDefault="00371F78" w:rsidP="00E44FD4">
            <w:pPr>
              <w:jc w:val="center"/>
            </w:pPr>
            <w:r w:rsidRPr="00D76261">
              <w:t>76 (68.5)</w:t>
            </w:r>
          </w:p>
        </w:tc>
      </w:tr>
      <w:tr w:rsidR="00371F78" w:rsidRPr="00060868" w:rsidTr="00371F78">
        <w:trPr>
          <w:trHeight w:val="113"/>
        </w:trPr>
        <w:tc>
          <w:tcPr>
            <w:tcW w:w="2261" w:type="pct"/>
            <w:gridSpan w:val="3"/>
            <w:vAlign w:val="center"/>
          </w:tcPr>
          <w:p w:rsidR="00371F78" w:rsidRPr="00D76261" w:rsidRDefault="00371F78" w:rsidP="00E44FD4">
            <w:r w:rsidRPr="00D76261">
              <w:t>Age (years</w:t>
            </w:r>
            <w:r>
              <w:t>; mean (SD)</w:t>
            </w:r>
            <w:r w:rsidRPr="00D76261">
              <w:t>)</w:t>
            </w:r>
          </w:p>
        </w:tc>
        <w:tc>
          <w:tcPr>
            <w:tcW w:w="1369" w:type="pct"/>
            <w:vAlign w:val="center"/>
          </w:tcPr>
          <w:p w:rsidR="00371F78" w:rsidRPr="00D76261" w:rsidRDefault="00371F78" w:rsidP="00E44FD4">
            <w:pPr>
              <w:jc w:val="center"/>
            </w:pPr>
            <w:r w:rsidRPr="00D76261">
              <w:t>47.0 (11.7)</w:t>
            </w:r>
          </w:p>
        </w:tc>
        <w:tc>
          <w:tcPr>
            <w:tcW w:w="1369" w:type="pct"/>
            <w:vAlign w:val="center"/>
          </w:tcPr>
          <w:p w:rsidR="00371F78" w:rsidRPr="00D76261" w:rsidRDefault="00371F78" w:rsidP="00E44FD4">
            <w:pPr>
              <w:jc w:val="center"/>
            </w:pPr>
            <w:r w:rsidRPr="00D76261">
              <w:t>46.9 (11.2)</w:t>
            </w:r>
          </w:p>
        </w:tc>
      </w:tr>
      <w:tr w:rsidR="00371F78" w:rsidRPr="00060868" w:rsidTr="00371F78">
        <w:trPr>
          <w:trHeight w:val="113"/>
        </w:trPr>
        <w:tc>
          <w:tcPr>
            <w:tcW w:w="2261" w:type="pct"/>
            <w:gridSpan w:val="3"/>
            <w:tcBorders>
              <w:bottom w:val="single" w:sz="4" w:space="0" w:color="auto"/>
            </w:tcBorders>
            <w:vAlign w:val="center"/>
          </w:tcPr>
          <w:p w:rsidR="00371F78" w:rsidRPr="00D76261" w:rsidRDefault="00371F78" w:rsidP="00E44FD4">
            <w:r w:rsidRPr="00D76261">
              <w:t>Disease duration (years</w:t>
            </w:r>
            <w:r>
              <w:t>; mean (SD)</w:t>
            </w:r>
            <w:r w:rsidRPr="00D76261">
              <w:t>)</w:t>
            </w:r>
          </w:p>
        </w:tc>
        <w:tc>
          <w:tcPr>
            <w:tcW w:w="1369" w:type="pct"/>
            <w:vAlign w:val="center"/>
          </w:tcPr>
          <w:p w:rsidR="00371F78" w:rsidRPr="00D76261" w:rsidRDefault="00371F78" w:rsidP="00E44FD4">
            <w:pPr>
              <w:jc w:val="center"/>
            </w:pPr>
            <w:r w:rsidRPr="00D76261">
              <w:t>15.1 (9.12)</w:t>
            </w:r>
          </w:p>
        </w:tc>
        <w:tc>
          <w:tcPr>
            <w:tcW w:w="1369" w:type="pct"/>
            <w:vAlign w:val="center"/>
          </w:tcPr>
          <w:p w:rsidR="00371F78" w:rsidRPr="00D76261" w:rsidRDefault="00371F78" w:rsidP="00E44FD4">
            <w:pPr>
              <w:jc w:val="center"/>
            </w:pPr>
            <w:r w:rsidRPr="00D76261">
              <w:t>16.1 (8.2)</w:t>
            </w:r>
          </w:p>
        </w:tc>
      </w:tr>
      <w:tr w:rsidR="00371F78" w:rsidRPr="005D22B1" w:rsidTr="00371F78">
        <w:trPr>
          <w:trHeight w:val="113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F78" w:rsidRPr="00D76261" w:rsidRDefault="00371F78" w:rsidP="00E44FD4">
            <w:r w:rsidRPr="00D76261">
              <w:t xml:space="preserve">TNFi (n (%))                              </w:t>
            </w:r>
          </w:p>
          <w:p w:rsidR="00371F78" w:rsidRPr="00D76261" w:rsidRDefault="00371F78" w:rsidP="00E44FD4">
            <w:r w:rsidRPr="00D76261">
              <w:t xml:space="preserve">                                            </w:t>
            </w:r>
          </w:p>
          <w:p w:rsidR="00371F78" w:rsidRPr="00D76261" w:rsidRDefault="00371F78" w:rsidP="00E44FD4">
            <w:r w:rsidRPr="00D76261">
              <w:t xml:space="preserve">                                       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1F78" w:rsidRPr="002917D4" w:rsidRDefault="00371F78" w:rsidP="00E44FD4">
            <w:pPr>
              <w:jc w:val="right"/>
            </w:pPr>
            <w:r w:rsidRPr="002917D4">
              <w:t xml:space="preserve">Etanercept                                            Infliximab                                       Adalimumab                                     </w:t>
            </w:r>
            <w:proofErr w:type="spellStart"/>
            <w:r w:rsidRPr="002917D4">
              <w:t>Golimumab</w:t>
            </w:r>
            <w:proofErr w:type="spellEnd"/>
            <w:r w:rsidRPr="002917D4">
              <w:t xml:space="preserve">                                  </w:t>
            </w:r>
            <w:proofErr w:type="spellStart"/>
            <w:r w:rsidRPr="002917D4">
              <w:t>Certolizumab</w:t>
            </w:r>
            <w:proofErr w:type="spellEnd"/>
          </w:p>
        </w:tc>
        <w:tc>
          <w:tcPr>
            <w:tcW w:w="1369" w:type="pct"/>
            <w:vAlign w:val="center"/>
          </w:tcPr>
          <w:p w:rsidR="00371F78" w:rsidRPr="00D76261" w:rsidRDefault="00371F78" w:rsidP="00E44FD4">
            <w:pPr>
              <w:jc w:val="center"/>
            </w:pPr>
            <w:r w:rsidRPr="00D76261">
              <w:t>121</w:t>
            </w:r>
            <w:r>
              <w:t xml:space="preserve"> (44.8)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34</w:t>
            </w:r>
            <w:r>
              <w:t xml:space="preserve"> (12.6)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113</w:t>
            </w:r>
            <w:r>
              <w:t xml:space="preserve"> (41.8)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2</w:t>
            </w:r>
            <w:r>
              <w:t xml:space="preserve"> (0.7)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0</w:t>
            </w:r>
            <w:r>
              <w:t xml:space="preserve"> (0)</w:t>
            </w:r>
          </w:p>
        </w:tc>
        <w:tc>
          <w:tcPr>
            <w:tcW w:w="1369" w:type="pct"/>
            <w:vAlign w:val="center"/>
          </w:tcPr>
          <w:p w:rsidR="00371F78" w:rsidRPr="00D76261" w:rsidRDefault="00371F78" w:rsidP="00E44FD4">
            <w:pPr>
              <w:jc w:val="center"/>
            </w:pPr>
            <w:r w:rsidRPr="00D76261">
              <w:t>21</w:t>
            </w:r>
            <w:r>
              <w:t xml:space="preserve"> (18.9)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31</w:t>
            </w:r>
            <w:r>
              <w:t xml:space="preserve"> (27.9)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48</w:t>
            </w:r>
            <w:r>
              <w:t xml:space="preserve"> (43.2)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10</w:t>
            </w:r>
            <w:r>
              <w:t xml:space="preserve"> (9.0)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1</w:t>
            </w:r>
            <w:r>
              <w:t xml:space="preserve"> (0.1)</w:t>
            </w:r>
          </w:p>
        </w:tc>
      </w:tr>
      <w:tr w:rsidR="00371F78" w:rsidRPr="005D22B1" w:rsidTr="00371F78">
        <w:trPr>
          <w:trHeight w:val="113"/>
        </w:trPr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F78" w:rsidRPr="00D76261" w:rsidRDefault="00371F78" w:rsidP="00E44FD4">
            <w:r w:rsidRPr="00D76261">
              <w:t xml:space="preserve">Year of initiation </w:t>
            </w:r>
            <w:r>
              <w:t>(n)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F78" w:rsidRDefault="00371F78" w:rsidP="00E44FD4">
            <w:pPr>
              <w:jc w:val="right"/>
            </w:pPr>
            <w:r>
              <w:t xml:space="preserve">         2002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2003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2004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2005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2006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2007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2008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2009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2010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2011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2012</w:t>
            </w:r>
          </w:p>
          <w:p w:rsidR="00371F78" w:rsidRPr="00D76261" w:rsidRDefault="00371F78" w:rsidP="00E44FD4">
            <w:pPr>
              <w:jc w:val="right"/>
            </w:pPr>
            <w:r w:rsidRPr="00D76261">
              <w:t>2013</w:t>
            </w:r>
          </w:p>
        </w:tc>
        <w:tc>
          <w:tcPr>
            <w:tcW w:w="1369" w:type="pct"/>
            <w:tcBorders>
              <w:left w:val="single" w:sz="4" w:space="0" w:color="auto"/>
            </w:tcBorders>
            <w:vAlign w:val="center"/>
          </w:tcPr>
          <w:p w:rsidR="00371F78" w:rsidRPr="00D76261" w:rsidRDefault="00371F78" w:rsidP="00E44FD4">
            <w:pPr>
              <w:jc w:val="center"/>
            </w:pPr>
            <w:r w:rsidRPr="00D76261">
              <w:t>0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15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43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38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40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36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31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22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16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7</w:t>
            </w:r>
          </w:p>
          <w:p w:rsidR="00371F78" w:rsidRPr="00D76261" w:rsidRDefault="00371F78" w:rsidP="00E44FD4">
            <w:pPr>
              <w:jc w:val="center"/>
            </w:pPr>
            <w:r w:rsidRPr="00D76261">
              <w:t>9</w:t>
            </w:r>
          </w:p>
          <w:p w:rsidR="00371F78" w:rsidRPr="00D76261" w:rsidRDefault="00371F78" w:rsidP="00E44FD4">
            <w:pPr>
              <w:jc w:val="center"/>
            </w:pPr>
            <w:r>
              <w:t>3</w:t>
            </w:r>
          </w:p>
        </w:tc>
        <w:tc>
          <w:tcPr>
            <w:tcW w:w="1369" w:type="pct"/>
            <w:vAlign w:val="center"/>
          </w:tcPr>
          <w:p w:rsidR="00371F78" w:rsidRDefault="00371F78" w:rsidP="00E44FD4">
            <w:pPr>
              <w:jc w:val="center"/>
            </w:pPr>
            <w:r>
              <w:t>0</w:t>
            </w:r>
          </w:p>
          <w:p w:rsidR="00371F78" w:rsidRDefault="00371F78" w:rsidP="00E44FD4">
            <w:pPr>
              <w:jc w:val="center"/>
            </w:pPr>
            <w:r>
              <w:t>0</w:t>
            </w:r>
          </w:p>
          <w:p w:rsidR="00371F78" w:rsidRDefault="00371F78" w:rsidP="00E44FD4">
            <w:pPr>
              <w:jc w:val="center"/>
            </w:pPr>
            <w:r>
              <w:t>11</w:t>
            </w:r>
          </w:p>
          <w:p w:rsidR="00371F78" w:rsidRDefault="00371F78" w:rsidP="00E44FD4">
            <w:pPr>
              <w:jc w:val="center"/>
            </w:pPr>
            <w:r>
              <w:t>14</w:t>
            </w:r>
          </w:p>
          <w:p w:rsidR="00371F78" w:rsidRDefault="00371F78" w:rsidP="00E44FD4">
            <w:pPr>
              <w:jc w:val="center"/>
            </w:pPr>
            <w:r>
              <w:t>9</w:t>
            </w:r>
          </w:p>
          <w:p w:rsidR="00371F78" w:rsidRDefault="00371F78" w:rsidP="00E44FD4">
            <w:pPr>
              <w:jc w:val="center"/>
            </w:pPr>
            <w:r>
              <w:t>11</w:t>
            </w:r>
          </w:p>
          <w:p w:rsidR="00371F78" w:rsidRDefault="00371F78" w:rsidP="00E44FD4">
            <w:pPr>
              <w:jc w:val="center"/>
            </w:pPr>
            <w:r>
              <w:t>11</w:t>
            </w:r>
          </w:p>
          <w:p w:rsidR="00371F78" w:rsidRDefault="00371F78" w:rsidP="00E44FD4">
            <w:pPr>
              <w:jc w:val="center"/>
            </w:pPr>
            <w:r>
              <w:t>8</w:t>
            </w:r>
          </w:p>
          <w:p w:rsidR="00371F78" w:rsidRDefault="00371F78" w:rsidP="00E44FD4">
            <w:pPr>
              <w:jc w:val="center"/>
            </w:pPr>
            <w:r>
              <w:t>17</w:t>
            </w:r>
          </w:p>
          <w:p w:rsidR="00371F78" w:rsidRDefault="00371F78" w:rsidP="00E44FD4">
            <w:pPr>
              <w:jc w:val="center"/>
            </w:pPr>
            <w:r>
              <w:t>17</w:t>
            </w:r>
          </w:p>
          <w:p w:rsidR="00371F78" w:rsidRDefault="00371F78" w:rsidP="00E44FD4">
            <w:pPr>
              <w:jc w:val="center"/>
            </w:pPr>
            <w:r>
              <w:t>11</w:t>
            </w:r>
          </w:p>
          <w:p w:rsidR="00371F78" w:rsidRPr="00D76261" w:rsidRDefault="00371F78" w:rsidP="00E44FD4">
            <w:pPr>
              <w:jc w:val="center"/>
            </w:pPr>
            <w:r>
              <w:t>2</w:t>
            </w:r>
          </w:p>
        </w:tc>
      </w:tr>
    </w:tbl>
    <w:p w:rsidR="00C616AC" w:rsidRDefault="00C616AC" w:rsidP="00371F78">
      <w:pPr>
        <w:rPr>
          <w:b/>
        </w:rPr>
      </w:pPr>
      <w:bookmarkStart w:id="0" w:name="_GoBack"/>
      <w:bookmarkEnd w:id="0"/>
    </w:p>
    <w:p w:rsidR="00C616AC" w:rsidRDefault="00C616AC">
      <w:pPr>
        <w:rPr>
          <w:b/>
        </w:rPr>
      </w:pPr>
      <w:r>
        <w:rPr>
          <w:b/>
        </w:rPr>
        <w:br w:type="page"/>
      </w:r>
    </w:p>
    <w:p w:rsidR="00DA1316" w:rsidRDefault="00DA1316" w:rsidP="00DA1316">
      <w:pPr>
        <w:pStyle w:val="Ingenmellomrom"/>
      </w:pPr>
      <w:r w:rsidRPr="00DA1316">
        <w:rPr>
          <w:b/>
        </w:rPr>
        <w:lastRenderedPageBreak/>
        <w:t xml:space="preserve">Figure S1: </w:t>
      </w:r>
      <w:r w:rsidRPr="00624786">
        <w:t>Persistence of TNFi by co-medication with MTX</w:t>
      </w:r>
    </w:p>
    <w:p w:rsidR="00C616AC" w:rsidRDefault="00C616AC" w:rsidP="00DA1316">
      <w:pPr>
        <w:pStyle w:val="Ingenmellomrom"/>
      </w:pPr>
    </w:p>
    <w:p w:rsidR="00C616AC" w:rsidRPr="00624786" w:rsidRDefault="00C616AC" w:rsidP="00DA1316">
      <w:pPr>
        <w:pStyle w:val="Ingenmellomrom"/>
      </w:pPr>
      <w:r>
        <w:rPr>
          <w:noProof/>
          <w:lang w:val="nb-NO" w:eastAsia="nb-NO"/>
        </w:rPr>
        <w:drawing>
          <wp:inline distT="0" distB="0" distL="0" distR="0">
            <wp:extent cx="8414492" cy="3252158"/>
            <wp:effectExtent l="19050" t="0" r="5608" b="0"/>
            <wp:docPr id="1" name="Bilde 1" descr="C:\Users\Ivar\Desktop\Karen\MCR\FigureS1_Hig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r\Desktop\Karen\MCR\FigureS1_HigRe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796" cy="325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AC" w:rsidRDefault="00C616AC" w:rsidP="00DA1316">
      <w:pPr>
        <w:pStyle w:val="Ingenmellomrom"/>
      </w:pPr>
    </w:p>
    <w:p w:rsidR="00DA1316" w:rsidRPr="00624786" w:rsidRDefault="00500AC1" w:rsidP="00DA1316">
      <w:pPr>
        <w:pStyle w:val="Ingenmellomrom"/>
      </w:pPr>
      <w:r w:rsidRPr="00624786">
        <w:t>Kaplan-Meier plot of time (years) to discontinuation of treatment</w:t>
      </w:r>
      <w:r w:rsidR="00624786" w:rsidRPr="00624786">
        <w:t xml:space="preserve"> by co-medication with Methotrexate, statistical comparison by log-rank test.</w:t>
      </w:r>
      <w:r w:rsidRPr="00624786">
        <w:t xml:space="preserve"> </w:t>
      </w:r>
      <w:r w:rsidR="00624786" w:rsidRPr="00624786">
        <w:t xml:space="preserve">A. Etanercept; p=0.16, B. </w:t>
      </w:r>
      <w:r w:rsidR="00DA1316" w:rsidRPr="00624786">
        <w:t xml:space="preserve">Infliximab; p=0.75, </w:t>
      </w:r>
      <w:r w:rsidR="00624786" w:rsidRPr="00624786">
        <w:t xml:space="preserve">C. </w:t>
      </w:r>
      <w:r w:rsidR="00DA1316" w:rsidRPr="00624786">
        <w:t>Adalimumab; p=0.92</w:t>
      </w:r>
    </w:p>
    <w:p w:rsidR="00DA1316" w:rsidRDefault="00DA1316" w:rsidP="00371F78">
      <w:pPr>
        <w:rPr>
          <w:b/>
        </w:rPr>
      </w:pPr>
    </w:p>
    <w:p w:rsidR="00A12DE7" w:rsidRDefault="00C616AC"/>
    <w:sectPr w:rsidR="00A12DE7" w:rsidSect="00C616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1F78"/>
    <w:rsid w:val="001512E1"/>
    <w:rsid w:val="00371F78"/>
    <w:rsid w:val="003D3AC4"/>
    <w:rsid w:val="003F5AC6"/>
    <w:rsid w:val="00500AC1"/>
    <w:rsid w:val="00624786"/>
    <w:rsid w:val="00AA2C95"/>
    <w:rsid w:val="00C616AC"/>
    <w:rsid w:val="00CC784B"/>
    <w:rsid w:val="00DA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78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1F7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DA1316"/>
    <w:pPr>
      <w:spacing w:after="0" w:line="240" w:lineRule="auto"/>
    </w:pPr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16A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78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1F7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A131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Sykehus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Minde Fagerli</dc:creator>
  <cp:lastModifiedBy>Ivar Tvede</cp:lastModifiedBy>
  <cp:revision>2</cp:revision>
  <dcterms:created xsi:type="dcterms:W3CDTF">2017-10-07T10:20:00Z</dcterms:created>
  <dcterms:modified xsi:type="dcterms:W3CDTF">2017-10-07T10:20:00Z</dcterms:modified>
</cp:coreProperties>
</file>