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03" w:rsidRDefault="00D23103" w:rsidP="00D23103">
      <w:pPr>
        <w:pStyle w:val="Heading1"/>
        <w:rPr>
          <w:lang w:val="en-GB"/>
        </w:rPr>
      </w:pPr>
      <w:r>
        <w:rPr>
          <w:lang w:val="en-GB"/>
        </w:rPr>
        <w:t>Supplementary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20"/>
        <w:gridCol w:w="1850"/>
        <w:gridCol w:w="2153"/>
        <w:gridCol w:w="1794"/>
      </w:tblGrid>
      <w:tr w:rsidR="00D23103" w:rsidRPr="00D23103" w:rsidTr="00A7576F">
        <w:tc>
          <w:tcPr>
            <w:tcW w:w="9628" w:type="dxa"/>
            <w:gridSpan w:val="5"/>
          </w:tcPr>
          <w:p w:rsidR="00D23103" w:rsidRDefault="00D23103" w:rsidP="00D23103">
            <w:pPr>
              <w:spacing w:before="0" w:after="0" w:line="240" w:lineRule="auto"/>
              <w:rPr>
                <w:lang w:val="en-GB"/>
              </w:rPr>
            </w:pPr>
            <w:r>
              <w:rPr>
                <w:b/>
                <w:i/>
                <w:lang w:val="en-US"/>
              </w:rPr>
              <w:t>Supplementary t</w:t>
            </w:r>
            <w:r w:rsidRPr="002F1FC8">
              <w:rPr>
                <w:b/>
                <w:i/>
                <w:lang w:val="en-US"/>
              </w:rPr>
              <w:t xml:space="preserve">able </w:t>
            </w:r>
            <w:r w:rsidRPr="002F1FC8">
              <w:rPr>
                <w:b/>
                <w:i/>
              </w:rPr>
              <w:fldChar w:fldCharType="begin"/>
            </w:r>
            <w:r w:rsidRPr="002F1FC8">
              <w:rPr>
                <w:b/>
                <w:i/>
                <w:lang w:val="en-US"/>
              </w:rPr>
              <w:instrText xml:space="preserve"> SEQ Table \* ARABIC </w:instrText>
            </w:r>
            <w:r w:rsidRPr="002F1FC8">
              <w:rPr>
                <w:b/>
                <w:i/>
              </w:rPr>
              <w:fldChar w:fldCharType="separate"/>
            </w:r>
            <w:r w:rsidRPr="002F1FC8">
              <w:rPr>
                <w:b/>
                <w:i/>
                <w:noProof/>
                <w:lang w:val="en-US"/>
              </w:rPr>
              <w:t>1</w:t>
            </w:r>
            <w:r w:rsidRPr="002F1FC8">
              <w:rPr>
                <w:b/>
                <w:i/>
              </w:rPr>
              <w:fldChar w:fldCharType="end"/>
            </w:r>
            <w:r w:rsidRPr="002F1FC8">
              <w:rPr>
                <w:b/>
                <w:i/>
                <w:lang w:val="en-US"/>
              </w:rPr>
              <w:t>:</w:t>
            </w:r>
            <w:r>
              <w:rPr>
                <w:lang w:val="en-GB"/>
              </w:rPr>
              <w:t xml:space="preserve"> Demographics of </w:t>
            </w:r>
            <w:r>
              <w:rPr>
                <w:lang w:val="en-GB"/>
              </w:rPr>
              <w:t xml:space="preserve">all </w:t>
            </w:r>
            <w:r>
              <w:rPr>
                <w:lang w:val="en-GB"/>
              </w:rPr>
              <w:t>OASIS</w:t>
            </w:r>
            <w:r>
              <w:rPr>
                <w:lang w:val="en-GB"/>
              </w:rPr>
              <w:t xml:space="preserve"> patients, deselected patients and the study population. </w:t>
            </w:r>
          </w:p>
        </w:tc>
      </w:tr>
      <w:tr w:rsidR="00D23103" w:rsidTr="00A7576F">
        <w:tc>
          <w:tcPr>
            <w:tcW w:w="1911" w:type="dxa"/>
          </w:tcPr>
          <w:p w:rsidR="00D23103" w:rsidRPr="002F1FC8" w:rsidRDefault="00D23103" w:rsidP="00A7576F">
            <w:pPr>
              <w:spacing w:before="0"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1920" w:type="dxa"/>
          </w:tcPr>
          <w:p w:rsidR="00D23103" w:rsidRDefault="00D23103" w:rsidP="00D23103">
            <w:pPr>
              <w:spacing w:before="0" w:after="0" w:line="24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All OASIS patients (n=217)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Deselected patients (n=95)</w:t>
            </w:r>
          </w:p>
        </w:tc>
        <w:tc>
          <w:tcPr>
            <w:tcW w:w="2153" w:type="dxa"/>
          </w:tcPr>
          <w:p w:rsidR="00D23103" w:rsidRDefault="00D23103" w:rsidP="00D23103">
            <w:pPr>
              <w:spacing w:before="0" w:after="0" w:line="24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Study </w:t>
            </w:r>
            <w:r>
              <w:rPr>
                <w:lang w:val="en-GB"/>
              </w:rPr>
              <w:t>population (122)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p-valu</w:t>
            </w:r>
            <w:bookmarkStart w:id="0" w:name="_GoBack"/>
            <w:bookmarkEnd w:id="0"/>
            <w:r>
              <w:rPr>
                <w:lang w:val="en-GB"/>
              </w:rPr>
              <w:t>e</w:t>
            </w:r>
          </w:p>
        </w:tc>
      </w:tr>
      <w:tr w:rsidR="00D23103" w:rsidTr="00A7576F"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Age (years)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45.4 (13.0)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45.7 (13.9)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45.2 (12.3)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0.80</w:t>
            </w:r>
          </w:p>
        </w:tc>
      </w:tr>
      <w:tr w:rsidR="00D23103" w:rsidTr="00A7576F"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Symptom duration (years)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22.4 (12.4)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21.0 (12.8)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23.5 (12.1)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0.16</w:t>
            </w:r>
          </w:p>
        </w:tc>
      </w:tr>
      <w:tr w:rsidR="00D23103" w:rsidTr="00A7576F"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Disease duration (years)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13.2 (9.6)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12.2 (9.3)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14.1 (10.0)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</w:tc>
      </w:tr>
      <w:tr w:rsidR="00D23103" w:rsidTr="00A7576F"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ASDAS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2.7 (1.1)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2.8 (1.1)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2.6 (1.0)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0.13</w:t>
            </w:r>
          </w:p>
        </w:tc>
      </w:tr>
      <w:tr w:rsidR="00D23103" w:rsidTr="00A7576F"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BASDAI (0-10)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3.4 (2.1)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3.5 (2.0)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3.4 (2.3)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0.83</w:t>
            </w:r>
          </w:p>
        </w:tc>
      </w:tr>
      <w:tr w:rsidR="00D23103" w:rsidTr="00A7576F">
        <w:trPr>
          <w:trHeight w:val="264"/>
        </w:trPr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CRP (mg/L)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16.4 (24.2)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20.0 (28.3)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13.7 (20.2)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0.059</w:t>
            </w:r>
          </w:p>
        </w:tc>
      </w:tr>
      <w:tr w:rsidR="00D23103" w:rsidTr="00A7576F">
        <w:trPr>
          <w:trHeight w:val="264"/>
        </w:trPr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Elevated CRP, n (%)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98 (46.5)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46 (47.3)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55 (45.8)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0.84 </w:t>
            </w:r>
          </w:p>
        </w:tc>
      </w:tr>
      <w:tr w:rsidR="00D23103" w:rsidTr="00A7576F">
        <w:trPr>
          <w:trHeight w:val="58"/>
        </w:trPr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ESR (mm/h)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15.5 (15.8)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16.9 (17.1)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14.4 (14.6)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0.25</w:t>
            </w:r>
          </w:p>
        </w:tc>
      </w:tr>
      <w:tr w:rsidR="00D23103" w:rsidTr="00A7576F">
        <w:trPr>
          <w:trHeight w:val="58"/>
        </w:trPr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PGDA (0-10)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3.9 (2.8)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4.0 (2.9)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3.8 (2.6)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0.50</w:t>
            </w:r>
          </w:p>
        </w:tc>
      </w:tr>
      <w:tr w:rsidR="00D23103" w:rsidTr="00A7576F">
        <w:trPr>
          <w:trHeight w:val="58"/>
        </w:trPr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Spinal pain (0-10)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3.6 (2.4)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3.7 (2.6)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3.5 (2.3)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0.45</w:t>
            </w:r>
          </w:p>
        </w:tc>
      </w:tr>
      <w:tr w:rsidR="00D23103" w:rsidTr="00A7576F">
        <w:trPr>
          <w:trHeight w:val="58"/>
        </w:trPr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mSASSS</w:t>
            </w:r>
            <w:proofErr w:type="spellEnd"/>
            <w:r>
              <w:rPr>
                <w:lang w:val="en-GB"/>
              </w:rPr>
              <w:t xml:space="preserve"> (0-72)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14.2 (18.4)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15.0 (19.8)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13.9 (17.6)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0.77</w:t>
            </w:r>
          </w:p>
        </w:tc>
      </w:tr>
      <w:tr w:rsidR="00D23103" w:rsidTr="00A7576F">
        <w:trPr>
          <w:trHeight w:val="58"/>
        </w:trPr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Sex, male, n (%)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154 (71.3)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68 (72.3)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86 (70.5)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0.77 </w:t>
            </w:r>
          </w:p>
        </w:tc>
      </w:tr>
      <w:tr w:rsidR="00D23103" w:rsidTr="00A7576F">
        <w:trPr>
          <w:trHeight w:val="58"/>
        </w:trPr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HLAB27 positive, n (%)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174 (84.5)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77 (88.5)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97 (81.5)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0.17 </w:t>
            </w:r>
          </w:p>
        </w:tc>
      </w:tr>
      <w:tr w:rsidR="00D23103" w:rsidTr="00A7576F">
        <w:trPr>
          <w:trHeight w:val="58"/>
        </w:trPr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mSASSS</w:t>
            </w:r>
            <w:proofErr w:type="spellEnd"/>
            <w:r>
              <w:rPr>
                <w:lang w:val="en-GB"/>
              </w:rPr>
              <w:t>&gt;</w:t>
            </w:r>
            <w:proofErr w:type="gramEnd"/>
            <w:r>
              <w:rPr>
                <w:lang w:val="en-GB"/>
              </w:rPr>
              <w:t>0, n (%)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158 (85.4)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52 (82.5)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106 (86.9)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0.43 </w:t>
            </w:r>
          </w:p>
        </w:tc>
      </w:tr>
      <w:tr w:rsidR="00D23103" w:rsidTr="00A7576F">
        <w:trPr>
          <w:trHeight w:val="58"/>
        </w:trPr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NSAID intake, n (%)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160 (74.1)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65 (69.2)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95 (77.9)</w:t>
            </w:r>
          </w:p>
        </w:tc>
        <w:tc>
          <w:tcPr>
            <w:tcW w:w="1794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0.15 </w:t>
            </w:r>
          </w:p>
        </w:tc>
      </w:tr>
      <w:tr w:rsidR="00D23103" w:rsidTr="00A7576F">
        <w:trPr>
          <w:trHeight w:val="58"/>
        </w:trPr>
        <w:tc>
          <w:tcPr>
            <w:tcW w:w="1911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TNFi</w:t>
            </w:r>
            <w:proofErr w:type="spellEnd"/>
            <w:r>
              <w:rPr>
                <w:lang w:val="en-GB"/>
              </w:rPr>
              <w:t xml:space="preserve"> intake, n (%)</w:t>
            </w:r>
          </w:p>
        </w:tc>
        <w:tc>
          <w:tcPr>
            <w:tcW w:w="192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11 (5.1)</w:t>
            </w:r>
          </w:p>
        </w:tc>
        <w:tc>
          <w:tcPr>
            <w:tcW w:w="1850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0 (0)</w:t>
            </w:r>
          </w:p>
        </w:tc>
        <w:tc>
          <w:tcPr>
            <w:tcW w:w="2153" w:type="dxa"/>
          </w:tcPr>
          <w:p w:rsidR="00D23103" w:rsidRDefault="00D23103" w:rsidP="00A7576F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11 (9.0)</w:t>
            </w:r>
          </w:p>
        </w:tc>
        <w:tc>
          <w:tcPr>
            <w:tcW w:w="1794" w:type="dxa"/>
          </w:tcPr>
          <w:p w:rsidR="00D23103" w:rsidRDefault="00D23103" w:rsidP="00A7576F">
            <w:pPr>
              <w:keepNext/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0.003 </w:t>
            </w:r>
          </w:p>
        </w:tc>
      </w:tr>
    </w:tbl>
    <w:p w:rsidR="00D23103" w:rsidRPr="00345C02" w:rsidRDefault="00D23103" w:rsidP="00D23103">
      <w:pPr>
        <w:pStyle w:val="NoSpacing"/>
        <w:rPr>
          <w:lang w:val="en-GB"/>
        </w:rPr>
      </w:pPr>
      <w:r w:rsidRPr="00782FAD">
        <w:rPr>
          <w:lang w:val="en-GB"/>
        </w:rPr>
        <w:t xml:space="preserve">ASDAS-CRP: Ankylosing Spondylitis disease activity score - </w:t>
      </w:r>
      <w:proofErr w:type="gramStart"/>
      <w:r w:rsidRPr="00782FAD">
        <w:rPr>
          <w:lang w:val="en-GB"/>
        </w:rPr>
        <w:t>C-Reactive</w:t>
      </w:r>
      <w:proofErr w:type="gramEnd"/>
      <w:r w:rsidRPr="00782FAD">
        <w:rPr>
          <w:lang w:val="en-GB"/>
        </w:rPr>
        <w:t xml:space="preserve"> protein. BASDAI: Bath Ankylosing Spondylitis disease activity index. ESR: Erythrocyte sedimentation rate. C1M, C5M and C6M: MMP-mediated degradation of type I, V and VI collagen, respectively. VICM: </w:t>
      </w:r>
      <w:proofErr w:type="spellStart"/>
      <w:r w:rsidRPr="00782FAD">
        <w:rPr>
          <w:lang w:val="en-GB"/>
        </w:rPr>
        <w:t>Citrullinated</w:t>
      </w:r>
      <w:proofErr w:type="spellEnd"/>
      <w:r w:rsidRPr="00782FAD">
        <w:rPr>
          <w:lang w:val="en-GB"/>
        </w:rPr>
        <w:t xml:space="preserve"> and MMP-degraded vimentin. </w:t>
      </w:r>
      <w:proofErr w:type="spellStart"/>
      <w:proofErr w:type="gramStart"/>
      <w:r w:rsidRPr="00782FAD">
        <w:rPr>
          <w:lang w:val="en-GB"/>
        </w:rPr>
        <w:t>mSASSS</w:t>
      </w:r>
      <w:proofErr w:type="spellEnd"/>
      <w:proofErr w:type="gramEnd"/>
      <w:r w:rsidRPr="00782FAD">
        <w:rPr>
          <w:lang w:val="en-GB"/>
        </w:rPr>
        <w:t>: modified Stoke Ankylosing Spondylitis Spine. NSAIDs: non-steroida</w:t>
      </w:r>
      <w:r>
        <w:rPr>
          <w:lang w:val="en-GB"/>
        </w:rPr>
        <w:t>l anti-inflammatory drugs</w:t>
      </w:r>
      <w:proofErr w:type="gramStart"/>
      <w:r>
        <w:rPr>
          <w:lang w:val="en-GB"/>
        </w:rPr>
        <w:t>;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TNFi</w:t>
      </w:r>
      <w:proofErr w:type="spellEnd"/>
      <w:r>
        <w:rPr>
          <w:lang w:val="en-GB"/>
        </w:rPr>
        <w:t xml:space="preserve"> intake:</w:t>
      </w:r>
      <w:r w:rsidRPr="00782FAD">
        <w:rPr>
          <w:lang w:val="en-GB"/>
        </w:rPr>
        <w:t xml:space="preserve"> </w:t>
      </w:r>
      <w:proofErr w:type="spellStart"/>
      <w:r w:rsidRPr="00782FAD">
        <w:rPr>
          <w:lang w:val="en-GB"/>
        </w:rPr>
        <w:t>tumor</w:t>
      </w:r>
      <w:proofErr w:type="spellEnd"/>
      <w:r w:rsidRPr="00782FAD">
        <w:rPr>
          <w:lang w:val="en-GB"/>
        </w:rPr>
        <w:t xml:space="preserve"> necrosis factor</w:t>
      </w:r>
      <w:r>
        <w:rPr>
          <w:lang w:val="en-GB"/>
        </w:rPr>
        <w:t xml:space="preserve"> inhibitor intake. </w:t>
      </w:r>
    </w:p>
    <w:p w:rsidR="00CD7444" w:rsidRPr="00D23103" w:rsidRDefault="00CD7444">
      <w:pPr>
        <w:rPr>
          <w:lang w:val="en-GB"/>
        </w:rPr>
      </w:pPr>
    </w:p>
    <w:sectPr w:rsidR="00CD7444" w:rsidRPr="00D231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03"/>
    <w:rsid w:val="004F7506"/>
    <w:rsid w:val="00CD7444"/>
    <w:rsid w:val="00D2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EA4FD-9FCA-4D5B-9546-6F251263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03"/>
    <w:pPr>
      <w:spacing w:before="240" w:after="240" w:line="48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10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103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D23103"/>
    <w:pPr>
      <w:spacing w:after="0" w:line="24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3103"/>
    <w:pPr>
      <w:spacing w:after="0" w:line="240" w:lineRule="auto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1361</Characters>
  <Application>Microsoft Office Word</Application>
  <DocSecurity>0</DocSecurity>
  <Lines>11</Lines>
  <Paragraphs>3</Paragraphs>
  <ScaleCrop>false</ScaleCrop>
  <Company>Nordic Bioscience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Siebuhr</dc:creator>
  <cp:keywords/>
  <dc:description/>
  <cp:lastModifiedBy>Anne Sofie Siebuhr</cp:lastModifiedBy>
  <cp:revision>1</cp:revision>
  <dcterms:created xsi:type="dcterms:W3CDTF">2018-03-14T09:21:00Z</dcterms:created>
  <dcterms:modified xsi:type="dcterms:W3CDTF">2018-03-14T09:23:00Z</dcterms:modified>
</cp:coreProperties>
</file>