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93" w:rsidRPr="004A7477" w:rsidRDefault="006925F8">
      <w:pPr>
        <w:rPr>
          <w:rFonts w:ascii="Times New Roman" w:hAnsi="Times New Roman" w:cs="Times New Roman"/>
          <w:b/>
          <w:lang w:val="en-US"/>
        </w:rPr>
      </w:pPr>
      <w:r w:rsidRPr="004A7477">
        <w:rPr>
          <w:rFonts w:ascii="Times New Roman" w:hAnsi="Times New Roman" w:cs="Times New Roman"/>
          <w:b/>
          <w:lang w:val="en-US"/>
        </w:rPr>
        <w:t>SUPPLEMENTARY FILE</w:t>
      </w:r>
    </w:p>
    <w:p w:rsidR="006925F8" w:rsidRPr="006925F8" w:rsidRDefault="006925F8" w:rsidP="006925F8">
      <w:pPr>
        <w:rPr>
          <w:rFonts w:ascii="Times New Roman" w:hAnsi="Times New Roman" w:cs="Times New Roman"/>
          <w:lang w:val="en-US"/>
        </w:rPr>
      </w:pPr>
      <w:r w:rsidRPr="006925F8">
        <w:rPr>
          <w:rFonts w:ascii="Times New Roman" w:hAnsi="Times New Roman" w:cs="Times New Roman"/>
          <w:lang w:val="en-US"/>
        </w:rPr>
        <w:t xml:space="preserve">Figure 1: Initial combination with prednisone (arm 3) group </w:t>
      </w:r>
      <w:proofErr w:type="spellStart"/>
      <w:r w:rsidRPr="006925F8">
        <w:rPr>
          <w:rFonts w:ascii="Times New Roman" w:hAnsi="Times New Roman" w:cs="Times New Roman"/>
          <w:lang w:val="en-US"/>
        </w:rPr>
        <w:t>BeSt</w:t>
      </w:r>
      <w:proofErr w:type="spellEnd"/>
      <w:r w:rsidRPr="006925F8">
        <w:rPr>
          <w:rFonts w:ascii="Times New Roman" w:hAnsi="Times New Roman" w:cs="Times New Roman"/>
          <w:lang w:val="en-US"/>
        </w:rPr>
        <w:t xml:space="preserve">-study flow chart treatment strategy </w:t>
      </w:r>
    </w:p>
    <w:p w:rsidR="006925F8" w:rsidRPr="006925F8" w:rsidRDefault="006925F8" w:rsidP="006925F8">
      <w:pPr>
        <w:rPr>
          <w:lang w:val="en-US"/>
        </w:rPr>
      </w:pPr>
      <w:r w:rsidRPr="006925F8">
        <w:rPr>
          <w:noProof/>
          <w:lang w:val="en-US" w:eastAsia="en-GB"/>
        </w:rPr>
        <w:t>(uploaded as separate file)</w:t>
      </w:r>
    </w:p>
    <w:p w:rsidR="006925F8" w:rsidRPr="006925F8" w:rsidRDefault="006925F8" w:rsidP="006925F8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 w:rsidRPr="006925F8">
        <w:rPr>
          <w:rFonts w:ascii="Times New Roman" w:hAnsi="Times New Roman"/>
          <w:sz w:val="20"/>
          <w:szCs w:val="20"/>
          <w:lang w:val="en-US"/>
        </w:rPr>
        <w:t xml:space="preserve">CSA: </w:t>
      </w:r>
      <w:proofErr w:type="spellStart"/>
      <w:r w:rsidRPr="006925F8">
        <w:rPr>
          <w:rFonts w:ascii="Times New Roman" w:hAnsi="Times New Roman"/>
          <w:sz w:val="20"/>
          <w:szCs w:val="20"/>
          <w:lang w:val="en-US"/>
        </w:rPr>
        <w:t>ciclosporin</w:t>
      </w:r>
      <w:proofErr w:type="spellEnd"/>
      <w:r w:rsidRPr="006925F8">
        <w:rPr>
          <w:rFonts w:ascii="Times New Roman" w:hAnsi="Times New Roman"/>
          <w:sz w:val="20"/>
          <w:szCs w:val="20"/>
          <w:lang w:val="en-US"/>
        </w:rPr>
        <w:t xml:space="preserve"> A 2.5mg/kg/day; </w:t>
      </w:r>
      <w:proofErr w:type="spellStart"/>
      <w:r w:rsidRPr="006925F8">
        <w:rPr>
          <w:rFonts w:ascii="Times New Roman" w:hAnsi="Times New Roman"/>
          <w:sz w:val="20"/>
          <w:szCs w:val="20"/>
          <w:lang w:val="en-US"/>
        </w:rPr>
        <w:t>Depomedrol</w:t>
      </w:r>
      <w:proofErr w:type="spellEnd"/>
      <w:r w:rsidRPr="006925F8">
        <w:rPr>
          <w:rFonts w:ascii="Times New Roman" w:hAnsi="Times New Roman"/>
          <w:sz w:val="20"/>
          <w:szCs w:val="20"/>
          <w:lang w:val="en-US"/>
        </w:rPr>
        <w:t xml:space="preserve">: 3 injections of 120mg  in week 1, 4 and 8; Gold 50mg/week; IFX: infliximab, dosages once per 8 weeks; Leflunomide 20mg/day; MTX: methotrexate, dosage per week; </w:t>
      </w:r>
      <w:proofErr w:type="spellStart"/>
      <w:r w:rsidRPr="006925F8">
        <w:rPr>
          <w:rFonts w:ascii="Times New Roman" w:hAnsi="Times New Roman"/>
          <w:sz w:val="20"/>
          <w:szCs w:val="20"/>
          <w:lang w:val="en-US"/>
        </w:rPr>
        <w:t>Pred</w:t>
      </w:r>
      <w:proofErr w:type="spellEnd"/>
      <w:r w:rsidRPr="006925F8">
        <w:rPr>
          <w:rFonts w:ascii="Times New Roman" w:hAnsi="Times New Roman"/>
          <w:sz w:val="20"/>
          <w:szCs w:val="20"/>
          <w:lang w:val="en-US"/>
        </w:rPr>
        <w:t>: prednisone 7.5mg/day unless indicated otherwise; SSA: sul</w:t>
      </w:r>
      <w:r w:rsidR="004A7477">
        <w:rPr>
          <w:rFonts w:ascii="Times New Roman" w:hAnsi="Times New Roman"/>
          <w:sz w:val="20"/>
          <w:szCs w:val="20"/>
          <w:lang w:val="en-US"/>
        </w:rPr>
        <w:t>f</w:t>
      </w:r>
      <w:r w:rsidRPr="006925F8">
        <w:rPr>
          <w:rFonts w:ascii="Times New Roman" w:hAnsi="Times New Roman"/>
          <w:sz w:val="20"/>
          <w:szCs w:val="20"/>
          <w:lang w:val="en-US"/>
        </w:rPr>
        <w:t xml:space="preserve">asalazine 2000mg/day.  </w:t>
      </w:r>
    </w:p>
    <w:p w:rsidR="006925F8" w:rsidRDefault="006925F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6925F8" w:rsidRPr="006925F8" w:rsidRDefault="006925F8" w:rsidP="006925F8">
      <w:pPr>
        <w:rPr>
          <w:rFonts w:ascii="Times New Roman" w:hAnsi="Times New Roman" w:cs="Times New Roman"/>
          <w:lang w:val="en-US"/>
        </w:rPr>
      </w:pPr>
      <w:r w:rsidRPr="006925F8">
        <w:rPr>
          <w:rFonts w:ascii="Times New Roman" w:hAnsi="Times New Roman" w:cs="Times New Roman"/>
          <w:lang w:val="en-US"/>
        </w:rPr>
        <w:lastRenderedPageBreak/>
        <w:t>Figure 2: IMPROVED-study flow chart</w:t>
      </w:r>
    </w:p>
    <w:p w:rsidR="006925F8" w:rsidRDefault="006925F8" w:rsidP="006925F8">
      <w:pPr>
        <w:pStyle w:val="Plattetekst"/>
        <w:spacing w:line="240" w:lineRule="auto"/>
        <w:rPr>
          <w:noProof/>
          <w:lang w:val="en-GB" w:eastAsia="en-GB"/>
        </w:rPr>
      </w:pPr>
      <w:r w:rsidRPr="00EC3509">
        <w:rPr>
          <w:noProof/>
          <w:lang w:val="en-GB" w:eastAsia="en-GB"/>
        </w:rPr>
        <w:t>(uploaded as separate file)</w:t>
      </w:r>
    </w:p>
    <w:p w:rsidR="006925F8" w:rsidRPr="00EC3509" w:rsidRDefault="006925F8" w:rsidP="006925F8">
      <w:pPr>
        <w:pStyle w:val="Plattetekst"/>
        <w:spacing w:line="240" w:lineRule="auto"/>
        <w:rPr>
          <w:b/>
          <w:sz w:val="20"/>
          <w:lang w:val="en-GB"/>
        </w:rPr>
      </w:pPr>
    </w:p>
    <w:p w:rsidR="006925F8" w:rsidRPr="006925F8" w:rsidRDefault="006925F8" w:rsidP="006925F8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6925F8">
        <w:rPr>
          <w:rFonts w:ascii="Times New Roman" w:hAnsi="Times New Roman" w:cs="Times New Roman"/>
          <w:sz w:val="20"/>
          <w:lang w:val="en-GB"/>
        </w:rPr>
        <w:t xml:space="preserve">MTX: methotrexate, 25mg/week; HCQ: </w:t>
      </w:r>
      <w:proofErr w:type="spellStart"/>
      <w:r w:rsidRPr="006925F8">
        <w:rPr>
          <w:rFonts w:ascii="Times New Roman" w:hAnsi="Times New Roman" w:cs="Times New Roman"/>
          <w:sz w:val="20"/>
          <w:lang w:val="en-GB"/>
        </w:rPr>
        <w:t>hydroxychloroquine</w:t>
      </w:r>
      <w:proofErr w:type="spellEnd"/>
      <w:r w:rsidRPr="006925F8">
        <w:rPr>
          <w:rFonts w:ascii="Times New Roman" w:hAnsi="Times New Roman" w:cs="Times New Roman"/>
          <w:sz w:val="20"/>
          <w:lang w:val="en-GB"/>
        </w:rPr>
        <w:t xml:space="preserve">; SSZ: </w:t>
      </w:r>
      <w:proofErr w:type="spellStart"/>
      <w:r w:rsidRPr="006925F8">
        <w:rPr>
          <w:rFonts w:ascii="Times New Roman" w:hAnsi="Times New Roman" w:cs="Times New Roman"/>
          <w:sz w:val="20"/>
          <w:lang w:val="en-GB"/>
        </w:rPr>
        <w:t>sulphasalazine</w:t>
      </w:r>
      <w:proofErr w:type="spellEnd"/>
      <w:r w:rsidRPr="006925F8">
        <w:rPr>
          <w:rFonts w:ascii="Times New Roman" w:hAnsi="Times New Roman" w:cs="Times New Roman"/>
          <w:sz w:val="20"/>
          <w:lang w:val="en-GB"/>
        </w:rPr>
        <w:t xml:space="preserve">. </w:t>
      </w:r>
      <w:proofErr w:type="spellStart"/>
      <w:r w:rsidRPr="006925F8">
        <w:rPr>
          <w:rFonts w:ascii="Times New Roman" w:hAnsi="Times New Roman" w:cs="Times New Roman"/>
          <w:sz w:val="20"/>
          <w:lang w:val="en-US"/>
        </w:rPr>
        <w:t>Colours</w:t>
      </w:r>
      <w:proofErr w:type="spellEnd"/>
      <w:r w:rsidRPr="006925F8">
        <w:rPr>
          <w:rFonts w:ascii="Times New Roman" w:hAnsi="Times New Roman" w:cs="Times New Roman"/>
          <w:sz w:val="20"/>
          <w:lang w:val="en-US"/>
        </w:rPr>
        <w:t xml:space="preserve">: orange=prednisone, green=MTX, dark blue=treatment according to opinion rheumatologist (TAR), aqua=HCQ, yellow=SSZ, purple=adalimumab biweekly, double thickness purple=adalimumab weekly, grey=protocol not followed as required but remained in follow-up (outside of protocol, OOP). </w:t>
      </w:r>
    </w:p>
    <w:p w:rsidR="006925F8" w:rsidRDefault="006925F8" w:rsidP="006925F8">
      <w:pPr>
        <w:rPr>
          <w:rFonts w:ascii="Times New Roman" w:hAnsi="Times New Roman"/>
          <w:sz w:val="20"/>
          <w:szCs w:val="20"/>
          <w:lang w:val="en-US" w:eastAsia="en-GB"/>
        </w:rPr>
      </w:pPr>
      <w:r w:rsidRPr="006925F8">
        <w:rPr>
          <w:rFonts w:ascii="Times New Roman" w:hAnsi="Times New Roman" w:cs="Times New Roman"/>
          <w:sz w:val="20"/>
          <w:lang w:val="en-US"/>
        </w:rPr>
        <w:t xml:space="preserve">All patients started with MTX and prednisone, tapered from 60mg/day to 7.5mg/day in 7 weeks. After 4 months if patients were in </w:t>
      </w:r>
      <w:r w:rsidR="00603DE6">
        <w:rPr>
          <w:rFonts w:ascii="Times New Roman" w:hAnsi="Times New Roman" w:cs="Times New Roman"/>
          <w:sz w:val="20"/>
          <w:lang w:val="en-US"/>
        </w:rPr>
        <w:t>DAS-</w:t>
      </w:r>
      <w:r w:rsidRPr="006925F8">
        <w:rPr>
          <w:rFonts w:ascii="Times New Roman" w:hAnsi="Times New Roman" w:cs="Times New Roman"/>
          <w:sz w:val="20"/>
          <w:lang w:val="en-US"/>
        </w:rPr>
        <w:t xml:space="preserve">remission (DAS&lt;1.6) prednisone was tapered to MTX monotherapy. If patients were not in </w:t>
      </w:r>
      <w:r w:rsidR="00603DE6">
        <w:rPr>
          <w:rFonts w:ascii="Times New Roman" w:hAnsi="Times New Roman" w:cs="Times New Roman"/>
          <w:sz w:val="20"/>
          <w:lang w:val="en-US"/>
        </w:rPr>
        <w:t>DAS-</w:t>
      </w:r>
      <w:r w:rsidRPr="006925F8">
        <w:rPr>
          <w:rFonts w:ascii="Times New Roman" w:hAnsi="Times New Roman" w:cs="Times New Roman"/>
          <w:sz w:val="20"/>
          <w:lang w:val="en-US"/>
        </w:rPr>
        <w:t>remission they were randomized to arm 1 (MTX 25mg/week, HCQ 400mg/day, SSZ 2000mg/day and prednisone 7.5mg/day) or arm 2 (MTX 25mg/week plus adalimumab 40mg/2 weeks</w:t>
      </w:r>
      <w:r w:rsidRPr="006925F8">
        <w:rPr>
          <w:rFonts w:ascii="Times New Roman" w:hAnsi="Times New Roman" w:cs="Times New Roman"/>
          <w:sz w:val="20"/>
          <w:szCs w:val="20"/>
          <w:lang w:val="en-US"/>
        </w:rPr>
        <w:t>). Every four months i</w:t>
      </w:r>
      <w:r w:rsidRPr="00B568EC">
        <w:rPr>
          <w:rFonts w:ascii="Times New Roman" w:hAnsi="Times New Roman"/>
          <w:sz w:val="20"/>
          <w:szCs w:val="20"/>
          <w:lang w:val="en-US" w:eastAsia="en-GB"/>
        </w:rPr>
        <w:t xml:space="preserve">f patients were in </w:t>
      </w:r>
      <w:r w:rsidR="00603DE6">
        <w:rPr>
          <w:rFonts w:ascii="Times New Roman" w:hAnsi="Times New Roman"/>
          <w:sz w:val="20"/>
          <w:szCs w:val="20"/>
          <w:lang w:val="en-US" w:eastAsia="en-GB"/>
        </w:rPr>
        <w:t>DAS-</w:t>
      </w:r>
      <w:r w:rsidRPr="00B568EC">
        <w:rPr>
          <w:rFonts w:ascii="Times New Roman" w:hAnsi="Times New Roman"/>
          <w:sz w:val="20"/>
          <w:szCs w:val="20"/>
          <w:lang w:val="en-US" w:eastAsia="en-GB"/>
        </w:rPr>
        <w:t xml:space="preserve">remission, the medication was tapered or stopped and if </w:t>
      </w:r>
      <w:r>
        <w:rPr>
          <w:rFonts w:ascii="Times New Roman" w:hAnsi="Times New Roman"/>
          <w:sz w:val="20"/>
          <w:szCs w:val="20"/>
          <w:lang w:val="en-US" w:eastAsia="en-GB"/>
        </w:rPr>
        <w:t xml:space="preserve">patients were not in </w:t>
      </w:r>
      <w:r w:rsidR="00603DE6">
        <w:rPr>
          <w:rFonts w:ascii="Times New Roman" w:hAnsi="Times New Roman"/>
          <w:sz w:val="20"/>
          <w:szCs w:val="20"/>
          <w:lang w:val="en-US" w:eastAsia="en-GB"/>
        </w:rPr>
        <w:t>DAS-</w:t>
      </w:r>
      <w:r>
        <w:rPr>
          <w:rFonts w:ascii="Times New Roman" w:hAnsi="Times New Roman"/>
          <w:sz w:val="20"/>
          <w:szCs w:val="20"/>
          <w:lang w:val="en-US" w:eastAsia="en-GB"/>
        </w:rPr>
        <w:t>remission</w:t>
      </w:r>
      <w:r w:rsidRPr="00B568EC">
        <w:rPr>
          <w:rFonts w:ascii="Times New Roman" w:hAnsi="Times New Roman"/>
          <w:sz w:val="20"/>
          <w:szCs w:val="20"/>
          <w:lang w:val="en-US" w:eastAsia="en-GB"/>
        </w:rPr>
        <w:t>, the medication was intensified or restarted</w:t>
      </w:r>
      <w:r>
        <w:rPr>
          <w:rFonts w:ascii="Times New Roman" w:hAnsi="Times New Roman"/>
          <w:sz w:val="20"/>
          <w:szCs w:val="20"/>
          <w:lang w:val="en-US" w:eastAsia="en-GB"/>
        </w:rPr>
        <w:t>.</w:t>
      </w:r>
    </w:p>
    <w:p w:rsidR="0027000F" w:rsidRDefault="0027000F" w:rsidP="006925F8">
      <w:pPr>
        <w:rPr>
          <w:rFonts w:ascii="Times New Roman" w:hAnsi="Times New Roman" w:cs="Times New Roman"/>
          <w:b/>
          <w:lang w:val="en-US"/>
        </w:rPr>
        <w:sectPr w:rsidR="002700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00F" w:rsidRDefault="0027000F" w:rsidP="0027000F">
      <w:pPr>
        <w:pStyle w:val="Geenafsta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lang w:val="en-US"/>
        </w:rPr>
        <w:lastRenderedPageBreak/>
        <w:t xml:space="preserve">Supplementary table 1: </w:t>
      </w:r>
      <w:r>
        <w:rPr>
          <w:rFonts w:ascii="Times New Roman" w:hAnsi="Times New Roman"/>
          <w:sz w:val="24"/>
          <w:szCs w:val="24"/>
        </w:rPr>
        <w:t xml:space="preserve">Univariable logistic regression analysis with DAS-remission at year 1, </w:t>
      </w:r>
      <w:r>
        <w:rPr>
          <w:rFonts w:ascii="Times New Roman" w:hAnsi="Times New Roman"/>
          <w:sz w:val="24"/>
          <w:szCs w:val="18"/>
        </w:rPr>
        <w:t xml:space="preserve">ACR/EULAR (Boolean) remission at year 1 and </w:t>
      </w:r>
      <w:r w:rsidRPr="00006290">
        <w:rPr>
          <w:rFonts w:ascii="Times New Roman" w:hAnsi="Times New Roman"/>
          <w:sz w:val="24"/>
        </w:rPr>
        <w:t>drug-free DAS-remission at year 5</w:t>
      </w:r>
      <w:r>
        <w:rPr>
          <w:rFonts w:ascii="Times New Roman" w:hAnsi="Times New Roman"/>
          <w:sz w:val="24"/>
          <w:szCs w:val="24"/>
        </w:rPr>
        <w:t xml:space="preserve"> as binomial outcome variables</w:t>
      </w:r>
    </w:p>
    <w:p w:rsidR="0027000F" w:rsidRDefault="0027000F" w:rsidP="006925F8">
      <w:pPr>
        <w:rPr>
          <w:rFonts w:ascii="Times New Roman" w:hAnsi="Times New Roman" w:cs="Times New Roman"/>
          <w:b/>
          <w:lang w:val="en-GB"/>
        </w:rPr>
      </w:pPr>
    </w:p>
    <w:tbl>
      <w:tblPr>
        <w:tblStyle w:val="Tabelraster"/>
        <w:tblW w:w="11199" w:type="dxa"/>
        <w:tblLayout w:type="fixed"/>
        <w:tblLook w:val="04A0"/>
      </w:tblPr>
      <w:tblGrid>
        <w:gridCol w:w="2552"/>
        <w:gridCol w:w="709"/>
        <w:gridCol w:w="992"/>
        <w:gridCol w:w="1134"/>
        <w:gridCol w:w="709"/>
        <w:gridCol w:w="1134"/>
        <w:gridCol w:w="992"/>
        <w:gridCol w:w="850"/>
        <w:gridCol w:w="1134"/>
        <w:gridCol w:w="993"/>
      </w:tblGrid>
      <w:tr w:rsidR="00891336" w:rsidRPr="00400072" w:rsidTr="002822D4">
        <w:trPr>
          <w:trHeight w:val="850"/>
        </w:trPr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891336" w:rsidRPr="002B07D0" w:rsidRDefault="00936D8C" w:rsidP="00DD705A">
            <w:pPr>
              <w:pStyle w:val="Geenafstand"/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Univariable logistic regression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07D0">
              <w:rPr>
                <w:rFonts w:ascii="Times New Roman" w:hAnsi="Times New Roman"/>
                <w:b/>
                <w:sz w:val="20"/>
                <w:szCs w:val="20"/>
              </w:rPr>
              <w:t>DAS-remission at year 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36" w:rsidRPr="002B07D0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07D0">
              <w:rPr>
                <w:rFonts w:ascii="Times New Roman" w:hAnsi="Times New Roman"/>
                <w:b/>
                <w:sz w:val="20"/>
                <w:szCs w:val="20"/>
              </w:rPr>
              <w:t>ACR/EULAR (Boolean) remission at year 1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91336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B76F1B">
              <w:rPr>
                <w:rFonts w:ascii="Times New Roman" w:hAnsi="Times New Roman"/>
                <w:b/>
                <w:sz w:val="20"/>
                <w:szCs w:val="20"/>
              </w:rPr>
              <w:t xml:space="preserve">rug-free DAS-remission </w:t>
            </w:r>
          </w:p>
          <w:p w:rsidR="00891336" w:rsidRPr="002B07D0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6F1B">
              <w:rPr>
                <w:rFonts w:ascii="Times New Roman" w:hAnsi="Times New Roman"/>
                <w:b/>
                <w:sz w:val="20"/>
                <w:szCs w:val="20"/>
              </w:rPr>
              <w:t>at year 5</w:t>
            </w:r>
          </w:p>
        </w:tc>
      </w:tr>
      <w:tr w:rsidR="00891336" w:rsidTr="002822D4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06CA">
              <w:rPr>
                <w:rFonts w:ascii="Times New Roman" w:hAnsi="Times New Roman"/>
                <w:b/>
                <w:sz w:val="20"/>
                <w:szCs w:val="20"/>
              </w:rPr>
              <w:t>OR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06CA">
              <w:rPr>
                <w:rFonts w:ascii="Times New Roman" w:hAnsi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06CA">
              <w:rPr>
                <w:rFonts w:ascii="Times New Roman" w:hAnsi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06CA">
              <w:rPr>
                <w:rFonts w:ascii="Times New Roman" w:hAnsi="Times New Roman"/>
                <w:b/>
                <w:sz w:val="20"/>
                <w:szCs w:val="20"/>
              </w:rPr>
              <w:t>OR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06CA">
              <w:rPr>
                <w:rFonts w:ascii="Times New Roman" w:hAnsi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06CA">
              <w:rPr>
                <w:rFonts w:ascii="Times New Roman" w:hAnsi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06CA">
              <w:rPr>
                <w:rFonts w:ascii="Times New Roman" w:hAnsi="Times New Roman"/>
                <w:b/>
                <w:sz w:val="20"/>
                <w:szCs w:val="20"/>
              </w:rPr>
              <w:t>OR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06CA">
              <w:rPr>
                <w:rFonts w:ascii="Times New Roman" w:hAnsi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06CA">
              <w:rPr>
                <w:rFonts w:ascii="Times New Roman" w:hAnsi="Times New Roman"/>
                <w:b/>
                <w:sz w:val="20"/>
                <w:szCs w:val="20"/>
              </w:rPr>
              <w:t>p-value</w:t>
            </w:r>
          </w:p>
        </w:tc>
      </w:tr>
      <w:tr w:rsidR="00891336" w:rsidTr="00891336"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DAS&lt;1.6 steered study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2.47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1.51-4.02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1.30-4.14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0.005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3.13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1.45-6.77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0.004</w:t>
            </w:r>
          </w:p>
        </w:tc>
      </w:tr>
      <w:tr w:rsidR="00891336" w:rsidTr="0089133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0.99-1.02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 xml:space="preserve">  0.646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0.98-1.02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0.783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0.98-1.03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0.547</w:t>
            </w:r>
          </w:p>
        </w:tc>
      </w:tr>
      <w:tr w:rsidR="00891336" w:rsidTr="0089133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Male 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2.25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1.35-3.76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 xml:space="preserve">  0.002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1.05-3.26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0.034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0.66-2.73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0.416</w:t>
            </w:r>
          </w:p>
        </w:tc>
      </w:tr>
      <w:tr w:rsidR="00891336" w:rsidTr="0089133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Symptom duration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0.98-1.00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 xml:space="preserve">  0.013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0.98-1.00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0.195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0.96-1.00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0.020</w:t>
            </w:r>
          </w:p>
        </w:tc>
      </w:tr>
      <w:tr w:rsidR="00891336" w:rsidTr="0089133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Baseline DAS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0.47-0.86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 xml:space="preserve">  0.003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0.56-1.11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0.171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0.59-1.37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0.628</w:t>
            </w:r>
          </w:p>
        </w:tc>
      </w:tr>
      <w:tr w:rsidR="00891336" w:rsidTr="0089133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Tender joint count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0.88-0.97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0.89-0.99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0.028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0.88-1.01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0.091</w:t>
            </w:r>
          </w:p>
        </w:tc>
      </w:tr>
      <w:tr w:rsidR="00891336" w:rsidTr="0089133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Swollen joint count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0.94-1.01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 xml:space="preserve">  0.138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0.96-1.05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0.858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0.96-1.07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0.758</w:t>
            </w:r>
          </w:p>
        </w:tc>
        <w:bookmarkStart w:id="0" w:name="_GoBack"/>
        <w:bookmarkEnd w:id="0"/>
      </w:tr>
      <w:tr w:rsidR="00891336" w:rsidTr="0089133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ESR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0.99-1.00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 xml:space="preserve">  0.268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0.99-1.01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0.623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0.99-1.02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0.521</w:t>
            </w:r>
          </w:p>
        </w:tc>
      </w:tr>
      <w:tr w:rsidR="00891336" w:rsidTr="0089133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VAS general health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0.99-1.01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 xml:space="preserve">  0.894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0.99-1.01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0.614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0.99-1.02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0.530</w:t>
            </w:r>
          </w:p>
        </w:tc>
      </w:tr>
      <w:tr w:rsidR="00891336" w:rsidTr="0089133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HAQ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0.65-1.33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 xml:space="preserve">  0.687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0.66-1.52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0.990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0.80-2.25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0.270</w:t>
            </w:r>
          </w:p>
        </w:tc>
      </w:tr>
      <w:tr w:rsidR="00891336" w:rsidTr="0089133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RF positive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0.73-1.97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 xml:space="preserve">  0.470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0.86-2.92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0.138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0.25-1.01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0.053</w:t>
            </w:r>
          </w:p>
        </w:tc>
      </w:tr>
      <w:tr w:rsidR="00891336" w:rsidTr="0089133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ACPA positive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0.57-1.47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 xml:space="preserve">  0.704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0.53-1.62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0.801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0.18-0.72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0.004</w:t>
            </w:r>
          </w:p>
        </w:tc>
      </w:tr>
      <w:tr w:rsidR="00891336" w:rsidTr="0089133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Total SHS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0.96-1.11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 xml:space="preserve">  0.460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0.86-1.06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0.378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0.79-1.03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0.128</w:t>
            </w:r>
          </w:p>
        </w:tc>
      </w:tr>
      <w:tr w:rsidR="00891336" w:rsidTr="00891336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Time on anti-TNF inhibitor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0.93-0.98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9D06CA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0.91-0.98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0.004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0.90-0.99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336" w:rsidRPr="009D06CA" w:rsidRDefault="00891336" w:rsidP="00DD705A">
            <w:pPr>
              <w:pStyle w:val="Geenafstand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0.012</w:t>
            </w:r>
          </w:p>
        </w:tc>
      </w:tr>
    </w:tbl>
    <w:p w:rsidR="00891336" w:rsidRDefault="00891336" w:rsidP="00891336">
      <w:pPr>
        <w:pStyle w:val="Geenafstand"/>
        <w:rPr>
          <w:rFonts w:ascii="Times New Roman" w:hAnsi="Times New Roman"/>
          <w:sz w:val="18"/>
          <w:szCs w:val="18"/>
        </w:rPr>
      </w:pPr>
      <w:r w:rsidRPr="00107A8B">
        <w:rPr>
          <w:rFonts w:ascii="Times New Roman" w:hAnsi="Times New Roman"/>
          <w:sz w:val="18"/>
          <w:szCs w:val="18"/>
        </w:rPr>
        <w:lastRenderedPageBreak/>
        <w:t xml:space="preserve">DAS: disease activity score, ESR erythrocyte sedimentation rate, VAS: visual analogue scale, HAQ: health assessment questionnaire, RF: rheumatoid factor, ACPA: anti-citrullinated protein antibodies, SHS: Sharp/van der </w:t>
      </w:r>
      <w:proofErr w:type="spellStart"/>
      <w:r w:rsidRPr="00107A8B">
        <w:rPr>
          <w:rFonts w:ascii="Times New Roman" w:hAnsi="Times New Roman"/>
          <w:sz w:val="18"/>
          <w:szCs w:val="18"/>
        </w:rPr>
        <w:t>Heijde</w:t>
      </w:r>
      <w:proofErr w:type="spellEnd"/>
      <w:r w:rsidRPr="00107A8B">
        <w:rPr>
          <w:rFonts w:ascii="Times New Roman" w:hAnsi="Times New Roman"/>
          <w:sz w:val="18"/>
          <w:szCs w:val="18"/>
        </w:rPr>
        <w:t xml:space="preserve"> Score, anti-TNF: anti-tumour necrosis factor, OR: odds ratio, CI: confidence interval.</w:t>
      </w:r>
    </w:p>
    <w:p w:rsidR="00891336" w:rsidRPr="0027000F" w:rsidRDefault="00891336" w:rsidP="006925F8">
      <w:pPr>
        <w:rPr>
          <w:rFonts w:ascii="Times New Roman" w:hAnsi="Times New Roman" w:cs="Times New Roman"/>
          <w:b/>
          <w:lang w:val="en-GB"/>
        </w:rPr>
      </w:pPr>
    </w:p>
    <w:sectPr w:rsidR="00891336" w:rsidRPr="0027000F" w:rsidSect="002700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milie Er&amp;Akdemir"/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6925F8"/>
    <w:rsid w:val="00240193"/>
    <w:rsid w:val="0027000F"/>
    <w:rsid w:val="002822D4"/>
    <w:rsid w:val="00400072"/>
    <w:rsid w:val="004A7477"/>
    <w:rsid w:val="00603DE6"/>
    <w:rsid w:val="006925F8"/>
    <w:rsid w:val="00891336"/>
    <w:rsid w:val="00936D8C"/>
    <w:rsid w:val="00E7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50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6925F8"/>
    <w:pPr>
      <w:widowControl w:val="0"/>
      <w:tabs>
        <w:tab w:val="left" w:pos="-1440"/>
        <w:tab w:val="left" w:pos="-720"/>
      </w:tabs>
      <w:suppressAutoHyphens/>
      <w:spacing w:after="0" w:line="360" w:lineRule="auto"/>
      <w:jc w:val="both"/>
    </w:pPr>
    <w:rPr>
      <w:rFonts w:ascii="Times New Roman" w:eastAsia="SimSun" w:hAnsi="Times New Roman" w:cs="Times New Roman"/>
      <w:snapToGrid w:val="0"/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6925F8"/>
    <w:rPr>
      <w:rFonts w:ascii="Times New Roman" w:eastAsia="SimSun" w:hAnsi="Times New Roman" w:cs="Times New Roman"/>
      <w:snapToGrid w:val="0"/>
      <w:sz w:val="24"/>
      <w:szCs w:val="20"/>
    </w:rPr>
  </w:style>
  <w:style w:type="paragraph" w:styleId="Geenafstand">
    <w:name w:val="No Spacing"/>
    <w:uiPriority w:val="1"/>
    <w:qFormat/>
    <w:rsid w:val="0027000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0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00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89133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Gülşah</dc:creator>
  <cp:lastModifiedBy> </cp:lastModifiedBy>
  <cp:revision>2</cp:revision>
  <dcterms:created xsi:type="dcterms:W3CDTF">2018-04-06T11:57:00Z</dcterms:created>
  <dcterms:modified xsi:type="dcterms:W3CDTF">2018-04-06T11:57:00Z</dcterms:modified>
</cp:coreProperties>
</file>