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F" w:rsidRPr="00BC1701" w:rsidRDefault="00DD4BCF" w:rsidP="000D3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lang w:val="en-GB"/>
        </w:rPr>
      </w:pPr>
      <w:r w:rsidRPr="00D60AA9">
        <w:rPr>
          <w:b/>
          <w:lang w:val="en-GB"/>
        </w:rPr>
        <w:t>Supplementary file</w:t>
      </w:r>
      <w:r w:rsidR="00D60AA9">
        <w:rPr>
          <w:b/>
          <w:lang w:val="en-GB"/>
        </w:rPr>
        <w:t>:</w:t>
      </w:r>
      <w:r w:rsidRPr="00D60AA9">
        <w:rPr>
          <w:b/>
          <w:lang w:val="en-GB"/>
        </w:rPr>
        <w:t xml:space="preserve"> </w:t>
      </w:r>
      <w:r w:rsidR="008C6B59" w:rsidRPr="00D60AA9">
        <w:rPr>
          <w:b/>
          <w:lang w:val="en-GB"/>
        </w:rPr>
        <w:t>Table S</w:t>
      </w:r>
      <w:r w:rsidR="00432503" w:rsidRPr="00D60AA9">
        <w:rPr>
          <w:b/>
          <w:lang w:val="en-GB"/>
        </w:rPr>
        <w:t>1</w:t>
      </w:r>
      <w:r w:rsidRPr="00D60AA9">
        <w:rPr>
          <w:b/>
          <w:lang w:val="en-GB"/>
        </w:rPr>
        <w:t>.</w:t>
      </w:r>
      <w:r w:rsidRPr="00D60AA9">
        <w:rPr>
          <w:lang w:val="en-GB"/>
        </w:rPr>
        <w:t xml:space="preserve"> </w:t>
      </w:r>
      <w:r w:rsidR="00D60AA9">
        <w:rPr>
          <w:lang w:val="en-GB"/>
        </w:rPr>
        <w:t xml:space="preserve">Development of a consensus </w:t>
      </w:r>
      <w:r w:rsidR="00AA01F5">
        <w:rPr>
          <w:lang w:val="en-GB"/>
        </w:rPr>
        <w:t>on</w:t>
      </w:r>
      <w:r w:rsidR="00D60AA9">
        <w:rPr>
          <w:lang w:val="en-GB"/>
        </w:rPr>
        <w:t xml:space="preserve"> </w:t>
      </w:r>
      <w:r w:rsidR="00D60AA9" w:rsidRPr="00BC1701">
        <w:rPr>
          <w:lang w:val="en-GB"/>
        </w:rPr>
        <w:t xml:space="preserve">definitions of ultrasound </w:t>
      </w:r>
      <w:r w:rsidR="00AA01F5" w:rsidRPr="00BC1701">
        <w:rPr>
          <w:lang w:val="en-GB"/>
        </w:rPr>
        <w:t xml:space="preserve">salivary gland </w:t>
      </w:r>
      <w:r w:rsidR="0039609B" w:rsidRPr="00BC1701">
        <w:rPr>
          <w:lang w:val="en-GB"/>
        </w:rPr>
        <w:t xml:space="preserve">normal and abnormal echostructures </w:t>
      </w:r>
      <w:r w:rsidR="008B5C8C" w:rsidRPr="00BC1701">
        <w:rPr>
          <w:lang w:val="en-GB"/>
        </w:rPr>
        <w:t>(</w:t>
      </w:r>
      <w:r w:rsidR="00AA01F5" w:rsidRPr="00BC1701">
        <w:rPr>
          <w:lang w:val="en-GB"/>
        </w:rPr>
        <w:t>US-SG</w:t>
      </w:r>
      <w:r w:rsidR="008B5C8C" w:rsidRPr="00BC1701">
        <w:rPr>
          <w:lang w:val="en-GB"/>
        </w:rPr>
        <w:t xml:space="preserve"> core items</w:t>
      </w:r>
      <w:r w:rsidR="008B5C8C" w:rsidRPr="00BC1701">
        <w:rPr>
          <w:b/>
          <w:lang w:val="en-GB"/>
        </w:rPr>
        <w:t>)</w:t>
      </w:r>
      <w:r w:rsidR="00D60AA9" w:rsidRPr="00BC1701">
        <w:rPr>
          <w:b/>
          <w:lang w:val="en-GB"/>
        </w:rPr>
        <w:t xml:space="preserve"> </w:t>
      </w:r>
    </w:p>
    <w:tbl>
      <w:tblPr>
        <w:tblW w:w="109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9"/>
        <w:gridCol w:w="1063"/>
        <w:gridCol w:w="1772"/>
        <w:gridCol w:w="1063"/>
      </w:tblGrid>
      <w:tr w:rsidR="00DD4BCF" w:rsidRPr="00D60AA9" w:rsidTr="00BF21F6">
        <w:trPr>
          <w:trHeight w:val="265"/>
        </w:trPr>
        <w:tc>
          <w:tcPr>
            <w:tcW w:w="7089" w:type="dxa"/>
            <w:shd w:val="clear" w:color="auto" w:fill="auto"/>
          </w:tcPr>
          <w:p w:rsidR="00DD4BCF" w:rsidRPr="00BC1701" w:rsidRDefault="00D60AA9" w:rsidP="00396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en-GB"/>
              </w:rPr>
            </w:pPr>
            <w:r w:rsidRPr="00BC1701">
              <w:rPr>
                <w:rFonts w:eastAsia="Times New Roman"/>
                <w:b/>
                <w:bdr w:val="none" w:sz="0" w:space="0" w:color="auto"/>
                <w:lang w:val="en-GB"/>
              </w:rPr>
              <w:t>Definitions</w:t>
            </w:r>
            <w:r w:rsidR="00E62A21" w:rsidRPr="00BC1701">
              <w:rPr>
                <w:rFonts w:eastAsia="Times New Roman"/>
                <w:b/>
                <w:bdr w:val="none" w:sz="0" w:space="0" w:color="auto"/>
                <w:lang w:val="en-GB"/>
              </w:rPr>
              <w:t xml:space="preserve"> of </w:t>
            </w:r>
            <w:r w:rsidR="00AA01F5" w:rsidRPr="00BC1701">
              <w:rPr>
                <w:rFonts w:eastAsia="Times New Roman"/>
                <w:b/>
                <w:bdr w:val="none" w:sz="0" w:space="0" w:color="auto"/>
                <w:lang w:val="en-GB"/>
              </w:rPr>
              <w:t xml:space="preserve">US-SG </w:t>
            </w:r>
            <w:r w:rsidR="0039609B" w:rsidRPr="00BC1701">
              <w:rPr>
                <w:rFonts w:eastAsia="Times New Roman"/>
                <w:b/>
                <w:bdr w:val="none" w:sz="0" w:space="0" w:color="auto"/>
                <w:lang w:val="en-GB"/>
              </w:rPr>
              <w:t xml:space="preserve">normal and abnormal echostructures </w:t>
            </w:r>
          </w:p>
        </w:tc>
        <w:tc>
          <w:tcPr>
            <w:tcW w:w="1063" w:type="dxa"/>
            <w:shd w:val="clear" w:color="auto" w:fill="auto"/>
          </w:tcPr>
          <w:p w:rsidR="00DD4BCF" w:rsidRPr="00BC1701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/>
              </w:rPr>
            </w:pPr>
            <w:r w:rsidRPr="00BC1701">
              <w:rPr>
                <w:rFonts w:eastAsia="Times New Roman"/>
                <w:bdr w:val="none" w:sz="0" w:space="0" w:color="auto"/>
                <w:lang w:val="en-GB"/>
              </w:rPr>
              <w:t>Round 1</w:t>
            </w:r>
          </w:p>
        </w:tc>
        <w:tc>
          <w:tcPr>
            <w:tcW w:w="1772" w:type="dxa"/>
            <w:shd w:val="clear" w:color="auto" w:fill="auto"/>
          </w:tcPr>
          <w:p w:rsidR="00DD4BCF" w:rsidRPr="00BC1701" w:rsidRDefault="00D60AA9" w:rsidP="00D60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/>
              </w:rPr>
            </w:pPr>
            <w:r w:rsidRPr="00BC1701">
              <w:rPr>
                <w:rFonts w:eastAsia="Times New Roman"/>
                <w:bdr w:val="none" w:sz="0" w:space="0" w:color="auto"/>
                <w:lang w:val="en-GB"/>
              </w:rPr>
              <w:t xml:space="preserve">Suggestions that were added </w:t>
            </w:r>
            <w:r w:rsidR="00DD4BCF" w:rsidRPr="00BC1701">
              <w:rPr>
                <w:rFonts w:eastAsia="Times New Roman"/>
                <w:bdr w:val="none" w:sz="0" w:space="0" w:color="auto"/>
                <w:lang w:val="en-GB"/>
              </w:rPr>
              <w:t xml:space="preserve">and accepted 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/>
              </w:rPr>
            </w:pPr>
            <w:r w:rsidRPr="00BC1701">
              <w:rPr>
                <w:rFonts w:eastAsia="Times New Roman"/>
                <w:bdr w:val="none" w:sz="0" w:space="0" w:color="auto"/>
                <w:lang w:val="en-GB"/>
              </w:rPr>
              <w:t>Round 2</w:t>
            </w:r>
          </w:p>
        </w:tc>
      </w:tr>
      <w:tr w:rsidR="00DD4BCF" w:rsidRPr="00D60AA9" w:rsidTr="00BF21F6">
        <w:trPr>
          <w:trHeight w:val="2458"/>
        </w:trPr>
        <w:tc>
          <w:tcPr>
            <w:tcW w:w="7089" w:type="dxa"/>
            <w:shd w:val="clear" w:color="auto" w:fill="auto"/>
          </w:tcPr>
          <w:p w:rsidR="00DD4BCF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Echogen</w:t>
            </w:r>
            <w:r w:rsidR="00ED2010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ici</w:t>
            </w:r>
            <w:r w:rsidRPr="00E20FDB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ty</w:t>
            </w:r>
          </w:p>
          <w:p w:rsidR="00DD4BCF" w:rsidRPr="00E20FDB" w:rsidRDefault="00D60AA9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>Normal echogen</w:t>
            </w:r>
            <w:r w:rsidR="00DD4BCF"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>icity</w:t>
            </w:r>
            <w:r w:rsidR="00685B97" w:rsidRP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of the SG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defined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as identical to that of the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normal thyroid gland. 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In older patients,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involution and fibrosis </w:t>
            </w:r>
            <w:r w:rsidR="00E2516F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of 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the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SGs may result in atrophy and hyperechogenicity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:rsidR="008056E6" w:rsidRPr="00E20FDB" w:rsidRDefault="00D9347C" w:rsidP="0080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>Abnormal echogen</w:t>
            </w:r>
            <w:r w:rsidR="00DD4BCF"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>icity:</w:t>
            </w:r>
            <w:r w:rsidR="00DD4BCF" w:rsidRP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60AA9" w:rsidRPr="00E20FDB">
              <w:rPr>
                <w:sz w:val="20"/>
                <w:szCs w:val="20"/>
                <w:lang w:val="en-GB"/>
              </w:rPr>
              <w:t>Echogenicity of the SG parenchyma is decreased by the</w:t>
            </w:r>
            <w:r w:rsidR="008056E6" w:rsidRPr="00E20FDB">
              <w:rPr>
                <w:sz w:val="20"/>
                <w:szCs w:val="20"/>
                <w:lang w:val="en-GB"/>
              </w:rPr>
              <w:t xml:space="preserve"> presence of </w:t>
            </w:r>
            <w:r w:rsidR="00E20FDB">
              <w:rPr>
                <w:sz w:val="20"/>
                <w:szCs w:val="20"/>
                <w:lang w:val="en-GB"/>
              </w:rPr>
              <w:t>hypo/</w:t>
            </w:r>
            <w:r w:rsidR="008056E6" w:rsidRPr="00E20FDB">
              <w:rPr>
                <w:sz w:val="20"/>
                <w:szCs w:val="20"/>
                <w:lang w:val="en-GB"/>
              </w:rPr>
              <w:t>anechoic</w:t>
            </w:r>
            <w:r w:rsidR="00D60AA9" w:rsidRPr="00E20FDB">
              <w:rPr>
                <w:sz w:val="20"/>
                <w:szCs w:val="20"/>
                <w:lang w:val="en-GB"/>
              </w:rPr>
              <w:t xml:space="preserve"> </w:t>
            </w:r>
            <w:r w:rsidR="008056E6" w:rsidRPr="00E20FDB">
              <w:rPr>
                <w:sz w:val="20"/>
                <w:szCs w:val="20"/>
                <w:lang w:val="en-GB"/>
              </w:rPr>
              <w:t xml:space="preserve">areas </w:t>
            </w:r>
            <w:r w:rsidR="00D60AA9" w:rsidRPr="00E20FDB">
              <w:rPr>
                <w:sz w:val="20"/>
                <w:szCs w:val="20"/>
                <w:lang w:val="en-GB"/>
              </w:rPr>
              <w:t>and increased by</w:t>
            </w:r>
            <w:r w:rsidR="008056E6" w:rsidRPr="00E20FDB">
              <w:rPr>
                <w:sz w:val="20"/>
                <w:szCs w:val="20"/>
                <w:lang w:val="en-GB"/>
              </w:rPr>
              <w:t xml:space="preserve"> fibrosis or </w:t>
            </w:r>
            <w:r w:rsidR="00D60AA9" w:rsidRPr="00E20FDB">
              <w:rPr>
                <w:sz w:val="20"/>
                <w:szCs w:val="20"/>
                <w:lang w:val="en-GB"/>
              </w:rPr>
              <w:t>fatty infiltration</w:t>
            </w:r>
            <w:r w:rsidR="008056E6" w:rsidRPr="00E20FDB">
              <w:rPr>
                <w:sz w:val="20"/>
                <w:szCs w:val="20"/>
                <w:lang w:val="en-GB"/>
              </w:rPr>
              <w:t xml:space="preserve">. Consequently, </w:t>
            </w:r>
            <w:r w:rsidR="00D60AA9" w:rsidRPr="00E20FDB">
              <w:rPr>
                <w:sz w:val="20"/>
                <w:szCs w:val="20"/>
                <w:lang w:val="en-GB"/>
              </w:rPr>
              <w:t>SGs containing high-</w:t>
            </w:r>
            <w:r w:rsidR="008056E6" w:rsidRPr="00E20FDB">
              <w:rPr>
                <w:sz w:val="20"/>
                <w:szCs w:val="20"/>
                <w:lang w:val="en-GB"/>
              </w:rPr>
              <w:t>density fibrous tissue</w:t>
            </w:r>
            <w:r w:rsidR="00D60AA9" w:rsidRPr="00E20FDB">
              <w:rPr>
                <w:sz w:val="20"/>
                <w:szCs w:val="20"/>
                <w:lang w:val="en-GB"/>
              </w:rPr>
              <w:t xml:space="preserve"> should be described as hyper</w:t>
            </w:r>
            <w:r w:rsidR="008056E6" w:rsidRPr="00E20FDB">
              <w:rPr>
                <w:sz w:val="20"/>
                <w:szCs w:val="20"/>
                <w:lang w:val="en-GB"/>
              </w:rPr>
              <w:t>echoic.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  <w:p w:rsidR="00DD4BCF" w:rsidRPr="00D60AA9" w:rsidRDefault="00DD4BCF" w:rsidP="0080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50%</w:t>
            </w:r>
          </w:p>
        </w:tc>
        <w:tc>
          <w:tcPr>
            <w:tcW w:w="1772" w:type="dxa"/>
            <w:shd w:val="clear" w:color="auto" w:fill="auto"/>
          </w:tcPr>
          <w:p w:rsidR="00E20FDB" w:rsidRPr="00845A63" w:rsidRDefault="00D60AA9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Echogenicity </w:t>
            </w:r>
            <w:r w:rsidR="008056E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varies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along a continuum </w:t>
            </w:r>
            <w:r w:rsidR="008056E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from hypoecho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genicity (numerous hypo</w:t>
            </w:r>
            <w:r w:rsid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/</w:t>
            </w:r>
            <w:r w:rsidR="008056E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anechoic areas) to hyperecho</w:t>
            </w:r>
            <w:r w:rsid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genicity (</w:t>
            </w:r>
            <w:r w:rsidR="008056E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fatty </w:t>
            </w:r>
            <w:r w:rsid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infiltration</w:t>
            </w:r>
            <w:r w:rsidR="008056E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or fibrosis with hyperechoic bands)</w:t>
            </w:r>
            <w:r w:rsidR="00845A63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. Echogenicity could be also compared </w:t>
            </w:r>
            <w:r w:rsidR="00845A63" w:rsidRPr="00845A63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to </w:t>
            </w:r>
            <w:r w:rsidR="00E20FDB" w:rsidRPr="00845A63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the</w:t>
            </w:r>
            <w:r w:rsidR="00DD4BCF" w:rsidRPr="00845A63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adjacent muscles</w:t>
            </w:r>
            <w:r w:rsidR="00845A63" w:rsidRPr="00845A63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and should be more echoic than muscles</w:t>
            </w:r>
            <w:r w:rsidR="00DD4BCF" w:rsidRPr="00845A63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.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  <w:p w:rsidR="00DD4BCF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SG echogen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icity depends on the amount of intraglandular fatty tissue</w:t>
            </w:r>
            <w: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100%</w:t>
            </w:r>
          </w:p>
        </w:tc>
      </w:tr>
      <w:tr w:rsidR="00DD4BCF" w:rsidRPr="00D60AA9" w:rsidTr="00BF21F6">
        <w:trPr>
          <w:trHeight w:val="2250"/>
        </w:trPr>
        <w:tc>
          <w:tcPr>
            <w:tcW w:w="7089" w:type="dxa"/>
            <w:shd w:val="clear" w:color="auto" w:fill="auto"/>
          </w:tcPr>
          <w:p w:rsidR="00DD4BCF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Homogeneity</w:t>
            </w:r>
          </w:p>
          <w:p w:rsidR="00DD4BCF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>Normal homogeneity</w:t>
            </w:r>
            <w:r w:rsidRPr="00E20FDB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is similar to that of the normal thyroid gland.</w:t>
            </w:r>
          </w:p>
          <w:p w:rsidR="00DD4BCF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i/>
                <w:sz w:val="20"/>
                <w:szCs w:val="20"/>
                <w:bdr w:val="none" w:sz="0" w:space="0" w:color="auto"/>
                <w:lang w:val="en-GB"/>
              </w:rPr>
              <w:t xml:space="preserve">Abnormal homogeneity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or a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bnormal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SG 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echostructure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: patients with pSS t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ypically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have a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heterogeneous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echostructure of all major SGs. However, heterogeneity may not be obvious in patients with intraglandular cyst-like areas or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hypo/anechoic areas 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that are few in number o</w:t>
            </w:r>
            <w: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r</w:t>
            </w:r>
            <w:r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irregularly distributed in the parenchyma</w:t>
            </w:r>
            <w:r w:rsidR="00DD4BCF" w:rsidRPr="00E20FDB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GB"/>
              </w:rPr>
            </w:pP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50%</w:t>
            </w:r>
          </w:p>
        </w:tc>
        <w:tc>
          <w:tcPr>
            <w:tcW w:w="1772" w:type="dxa"/>
            <w:shd w:val="clear" w:color="auto" w:fill="auto"/>
          </w:tcPr>
          <w:p w:rsidR="00496DFE" w:rsidRDefault="00DD4BCF" w:rsidP="00E25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Abnormal homogeneity is defined as</w:t>
            </w:r>
            <w:r w:rsidR="00496DFE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:</w:t>
            </w:r>
          </w:p>
          <w:p w:rsidR="00FD75F4" w:rsidRDefault="0087330E" w:rsidP="00FD75F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FD75F4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numerous</w:t>
            </w:r>
            <w:r w:rsidR="00DD4BCF" w:rsidRPr="00FD75F4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hypo</w:t>
            </w:r>
            <w:r w:rsidR="00E2516F" w:rsidRPr="00FD75F4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/</w:t>
            </w:r>
            <w:r w:rsidR="00DD4BCF" w:rsidRPr="00FD75F4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anechoic areas </w:t>
            </w:r>
          </w:p>
          <w:p w:rsidR="00496DFE" w:rsidRPr="00FD75F4" w:rsidRDefault="00506FFD" w:rsidP="00FD75F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FD75F4">
              <w:rPr>
                <w:sz w:val="20"/>
                <w:szCs w:val="20"/>
                <w:lang w:val="en-GB"/>
              </w:rPr>
              <w:t xml:space="preserve">numerous hyperechoic bands </w:t>
            </w:r>
          </w:p>
          <w:p w:rsidR="00DD4BCF" w:rsidRPr="00BC1701" w:rsidRDefault="00506FFD" w:rsidP="00BC1701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496DFE">
              <w:rPr>
                <w:sz w:val="20"/>
                <w:szCs w:val="20"/>
                <w:lang w:val="en-GB"/>
              </w:rPr>
              <w:t xml:space="preserve">hypo/anechoic areas 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100%</w:t>
            </w:r>
          </w:p>
        </w:tc>
      </w:tr>
      <w:tr w:rsidR="00DD4BCF" w:rsidRPr="00D60AA9" w:rsidTr="00BF21F6">
        <w:trPr>
          <w:trHeight w:val="1117"/>
        </w:trPr>
        <w:tc>
          <w:tcPr>
            <w:tcW w:w="7089" w:type="dxa"/>
            <w:shd w:val="clear" w:color="auto" w:fill="auto"/>
          </w:tcPr>
          <w:p w:rsidR="00E20FDB" w:rsidRPr="00E20FDB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E20FDB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Hypo/anechoic area</w:t>
            </w:r>
            <w:r w:rsidR="0080661F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BC1701" w:rsidRPr="00BC1701">
              <w:rPr>
                <w:rFonts w:eastAsia="Times New Roman"/>
                <w:b/>
                <w:sz w:val="16"/>
                <w:szCs w:val="16"/>
                <w:bdr w:val="none" w:sz="0" w:space="0" w:color="auto"/>
                <w:lang w:val="en-GB"/>
              </w:rPr>
              <w:t>#</w:t>
            </w:r>
          </w:p>
          <w:p w:rsidR="00DD4BCF" w:rsidRPr="00D60AA9" w:rsidRDefault="00E20FDB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Hypo/an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echoic area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 are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defined as small area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located anywhere within the SG</w:t>
            </w:r>
            <w:r w:rsidR="008008E1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,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not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compressible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by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the probe</w:t>
            </w:r>
            <w:r w:rsidR="008008E1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, and generating few or no echoes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. </w:t>
            </w:r>
            <w:r w:rsidR="008008E1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These areas have no blood flow detectable by colour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506FFD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Doppler. 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The</w:t>
            </w:r>
            <w:r w:rsidR="00DC1EB3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ir centre is not 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hyperechoic</w:t>
            </w:r>
            <w:r w:rsidR="00DD4BCF" w:rsidRPr="00DC1EB3">
              <w:rPr>
                <w:rFonts w:eastAsia="Times New Roman"/>
                <w:bCs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66%</w:t>
            </w:r>
          </w:p>
        </w:tc>
        <w:tc>
          <w:tcPr>
            <w:tcW w:w="1772" w:type="dxa"/>
            <w:shd w:val="clear" w:color="auto" w:fill="auto"/>
          </w:tcPr>
          <w:p w:rsidR="00DD4BCF" w:rsidRPr="00DC1EB3" w:rsidRDefault="00DC1EB3" w:rsidP="00845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FF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Whenever possible, m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easure</w:t>
            </w:r>
            <w:r w:rsidR="00D9347C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the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largest</w:t>
            </w:r>
            <w:r w:rsidR="00D9347C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845A63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dimension of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hypo/anechoic</w:t>
            </w:r>
            <w:r w:rsidR="00D9347C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area 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100%</w:t>
            </w:r>
          </w:p>
        </w:tc>
      </w:tr>
      <w:tr w:rsidR="00DD4BCF" w:rsidRPr="00D60AA9" w:rsidTr="00BF21F6">
        <w:trPr>
          <w:trHeight w:val="676"/>
        </w:trPr>
        <w:tc>
          <w:tcPr>
            <w:tcW w:w="7089" w:type="dxa"/>
            <w:shd w:val="clear" w:color="auto" w:fill="auto"/>
          </w:tcPr>
          <w:p w:rsidR="00DC1EB3" w:rsidRPr="00DC1EB3" w:rsidRDefault="0080661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 xml:space="preserve">Normal </w:t>
            </w:r>
            <w:r w:rsidR="00DD4BCF" w:rsidRPr="00DC1EB3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Lymph nodes</w:t>
            </w:r>
          </w:p>
          <w:p w:rsidR="00DD4BCF" w:rsidRPr="00D60AA9" w:rsidRDefault="00DC1EB3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lymph node is defined as an anechoic, round or oval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area, with or without 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an echogenic hilus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and with or without blood flow by colour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Doppler.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L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ymph nodes are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usually 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avascular and less than 1 cm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in diameter</w:t>
            </w:r>
            <w:r w:rsidR="00DD4BCF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83%</w:t>
            </w:r>
          </w:p>
        </w:tc>
        <w:tc>
          <w:tcPr>
            <w:tcW w:w="1772" w:type="dxa"/>
            <w:shd w:val="clear" w:color="auto" w:fill="auto"/>
          </w:tcPr>
          <w:p w:rsidR="00DD4BCF" w:rsidRPr="00D60AA9" w:rsidRDefault="00DD4BCF" w:rsidP="00DA4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In PG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: lymph nodes are located in the upper and lower pole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of the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gland or, occasionally,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in the middle of the superficial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portion of the gland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.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Normal SMGs do not contain any lymph nodes</w:t>
            </w:r>
            <w:r w:rsidR="00421056"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lastRenderedPageBreak/>
              <w:t>visible by ultrasonography.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lastRenderedPageBreak/>
              <w:t>100%</w:t>
            </w:r>
          </w:p>
        </w:tc>
      </w:tr>
      <w:tr w:rsidR="00DD4BCF" w:rsidRPr="00D60AA9" w:rsidTr="00BF21F6">
        <w:trPr>
          <w:trHeight w:val="676"/>
        </w:trPr>
        <w:tc>
          <w:tcPr>
            <w:tcW w:w="7089" w:type="dxa"/>
            <w:shd w:val="clear" w:color="auto" w:fill="auto"/>
          </w:tcPr>
          <w:p w:rsidR="00DA49D9" w:rsidRPr="00DA49D9" w:rsidRDefault="00DA49D9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A49D9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lastRenderedPageBreak/>
              <w:t>Calcifications</w:t>
            </w:r>
            <w:r w:rsidR="00ED2010" w:rsidRPr="00BC1701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*</w:t>
            </w:r>
          </w:p>
          <w:p w:rsidR="00DD4BCF" w:rsidRPr="00DA49D9" w:rsidRDefault="00DA49D9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Calcification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 are</w:t>
            </w:r>
            <w:r w:rsidR="00DD4BCF" w:rsidRP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defined as hyperechoic structure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s with or without </w:t>
            </w:r>
            <w:r w:rsidR="00DD4BCF" w:rsidRP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acoustic shadow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ing</w:t>
            </w:r>
            <w:r w:rsidR="00DD4BCF" w:rsidRP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, located within the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parenchyma</w:t>
            </w:r>
            <w:r w:rsidR="00DD4BCF" w:rsidRP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or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ducts.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66%</w:t>
            </w:r>
          </w:p>
        </w:tc>
        <w:tc>
          <w:tcPr>
            <w:tcW w:w="1772" w:type="dxa"/>
            <w:shd w:val="clear" w:color="auto" w:fill="auto"/>
          </w:tcPr>
          <w:p w:rsidR="00DD4BCF" w:rsidRPr="00D60AA9" w:rsidRDefault="00DD4BCF" w:rsidP="00DA4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Calcification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are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often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seen as 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round bright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images within the parenchyma or ducts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.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They are rare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in PG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 and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 more common in SMG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. 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H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yperechoic linear structure</w:t>
            </w:r>
            <w:r w:rsidR="00DA49D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s sometimes indicate calcification of a ligament</w:t>
            </w: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100%</w:t>
            </w:r>
          </w:p>
        </w:tc>
      </w:tr>
      <w:tr w:rsidR="00DD4BCF" w:rsidRPr="00D60AA9" w:rsidTr="00BF21F6">
        <w:trPr>
          <w:trHeight w:val="1672"/>
        </w:trPr>
        <w:tc>
          <w:tcPr>
            <w:tcW w:w="7089" w:type="dxa"/>
            <w:shd w:val="clear" w:color="auto" w:fill="auto"/>
          </w:tcPr>
          <w:p w:rsidR="00DA49D9" w:rsidRPr="00DA49D9" w:rsidRDefault="00DA49D9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A49D9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en-GB"/>
              </w:rPr>
              <w:t>Posterior border visibility</w:t>
            </w:r>
          </w:p>
          <w:p w:rsidR="00DD4BCF" w:rsidRPr="00DA49D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</w:pP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The posterior border of the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PG and SMG</w:t>
            </w: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is the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deep gland boundary</w:t>
            </w: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on </w:t>
            </w: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transverse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and</w:t>
            </w: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 longitudinal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views</w:t>
            </w:r>
            <w:r w:rsidRP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 xml:space="preserve">. </w:t>
            </w:r>
            <w:r w:rsidR="00DA49D9">
              <w:rPr>
                <w:rFonts w:eastAsia="Times New Roman"/>
                <w:iCs/>
                <w:sz w:val="20"/>
                <w:szCs w:val="20"/>
                <w:bdr w:val="none" w:sz="0" w:space="0" w:color="auto"/>
                <w:lang w:val="en-GB"/>
              </w:rPr>
              <w:t>The posterior border is normally visible by ultrasonography.</w:t>
            </w:r>
          </w:p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83%</w:t>
            </w:r>
          </w:p>
        </w:tc>
        <w:tc>
          <w:tcPr>
            <w:tcW w:w="1772" w:type="dxa"/>
            <w:shd w:val="clear" w:color="auto" w:fill="auto"/>
          </w:tcPr>
          <w:p w:rsidR="00DD4BCF" w:rsidRPr="00DA49D9" w:rsidRDefault="00F840BD" w:rsidP="00F84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FF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The gland contour is normally identified </w:t>
            </w:r>
            <w:r w:rsidR="00367C3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 xml:space="preserve">by a hyperechoic line between the SGs and the adjacent tissues 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in normal conditions.</w:t>
            </w:r>
          </w:p>
        </w:tc>
        <w:tc>
          <w:tcPr>
            <w:tcW w:w="1063" w:type="dxa"/>
            <w:shd w:val="clear" w:color="auto" w:fill="auto"/>
          </w:tcPr>
          <w:p w:rsidR="00DD4BCF" w:rsidRPr="00D60AA9" w:rsidRDefault="00DD4BCF" w:rsidP="00BF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</w:pPr>
            <w:r w:rsidRPr="00D60AA9">
              <w:rPr>
                <w:rFonts w:eastAsia="Times New Roman"/>
                <w:sz w:val="20"/>
                <w:szCs w:val="20"/>
                <w:bdr w:val="none" w:sz="0" w:space="0" w:color="auto"/>
                <w:lang w:val="en-GB"/>
              </w:rPr>
              <w:t>100%</w:t>
            </w:r>
          </w:p>
        </w:tc>
      </w:tr>
    </w:tbl>
    <w:p w:rsidR="00DD4BCF" w:rsidRPr="00D60AA9" w:rsidRDefault="00DD4BCF" w:rsidP="00DD4BCF">
      <w:pPr>
        <w:rPr>
          <w:lang w:val="en-GB"/>
        </w:rPr>
      </w:pPr>
    </w:p>
    <w:p w:rsidR="00DD4BCF" w:rsidRDefault="00DA49D9" w:rsidP="00DD4BCF">
      <w:pPr>
        <w:rPr>
          <w:lang w:val="en-GB"/>
        </w:rPr>
      </w:pPr>
      <w:r>
        <w:rPr>
          <w:lang w:val="en-GB"/>
        </w:rPr>
        <w:t>SG, salivary gland; pSS, primary Sjögren’s syndrome; PG, parotid gland; SMG, submandibular gland</w:t>
      </w:r>
    </w:p>
    <w:p w:rsidR="0080661F" w:rsidRPr="00BC1701" w:rsidRDefault="0080661F" w:rsidP="00DD4BCF">
      <w:pPr>
        <w:rPr>
          <w:lang w:val="en-GB"/>
        </w:rPr>
      </w:pPr>
      <w:r w:rsidRPr="00BC1701">
        <w:rPr>
          <w:rFonts w:eastAsia="Times New Roman"/>
          <w:b/>
          <w:sz w:val="16"/>
          <w:szCs w:val="16"/>
          <w:bdr w:val="none" w:sz="0" w:space="0" w:color="auto"/>
          <w:lang w:val="en-GB"/>
        </w:rPr>
        <w:t>#</w:t>
      </w:r>
      <w:r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 Hypo/anec</w:t>
      </w:r>
      <w:r w:rsidR="00AA01F5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hoic areas are among the </w:t>
      </w:r>
      <w:r w:rsidR="00CF6FEB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abnormal </w:t>
      </w:r>
      <w:r w:rsidR="00AA01F5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>echostructures</w:t>
      </w:r>
      <w:r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 of Homogeneity </w:t>
      </w:r>
    </w:p>
    <w:p w:rsidR="00DD4BCF" w:rsidRPr="00D60AA9" w:rsidRDefault="00ED2010" w:rsidP="00AA0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  <w:r w:rsidRPr="00BC1701">
        <w:rPr>
          <w:rFonts w:eastAsia="Times New Roman"/>
          <w:b/>
          <w:sz w:val="20"/>
          <w:szCs w:val="20"/>
          <w:bdr w:val="none" w:sz="0" w:space="0" w:color="auto"/>
          <w:lang w:val="en-GB"/>
        </w:rPr>
        <w:t>*</w:t>
      </w:r>
      <w:r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Calcification is an </w:t>
      </w:r>
      <w:r w:rsidR="00CF6FEB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abnormal </w:t>
      </w:r>
      <w:r w:rsidR="00AA01F5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>echostructure</w:t>
      </w:r>
      <w:r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 of Echogen</w:t>
      </w:r>
      <w:r w:rsidR="002A2B1B"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>ic</w:t>
      </w:r>
      <w:r w:rsidRPr="00BC1701">
        <w:rPr>
          <w:rFonts w:eastAsia="Times New Roman"/>
          <w:sz w:val="20"/>
          <w:szCs w:val="20"/>
          <w:bdr w:val="none" w:sz="0" w:space="0" w:color="auto"/>
          <w:lang w:val="en-GB"/>
        </w:rPr>
        <w:t xml:space="preserve">ity </w:t>
      </w:r>
    </w:p>
    <w:p w:rsidR="00DD4BCF" w:rsidRPr="00D60AA9" w:rsidRDefault="00DD4BCF" w:rsidP="00DD4BCF">
      <w:pPr>
        <w:rPr>
          <w:lang w:val="en-GB"/>
        </w:rPr>
      </w:pPr>
    </w:p>
    <w:p w:rsidR="00DD4BCF" w:rsidRPr="00D60AA9" w:rsidRDefault="00DD4BCF" w:rsidP="00DD4BCF">
      <w:pPr>
        <w:rPr>
          <w:lang w:val="en-GB"/>
        </w:rPr>
      </w:pPr>
    </w:p>
    <w:p w:rsidR="00DD4BCF" w:rsidRPr="00D60AA9" w:rsidRDefault="00DD4BCF" w:rsidP="00DD4BCF">
      <w:pPr>
        <w:rPr>
          <w:lang w:val="en-GB"/>
        </w:rPr>
      </w:pPr>
    </w:p>
    <w:p w:rsidR="00DD4BCF" w:rsidRPr="00D60AA9" w:rsidRDefault="00DD4BCF" w:rsidP="00DD4BCF">
      <w:pPr>
        <w:rPr>
          <w:lang w:val="en-GB"/>
        </w:rPr>
      </w:pPr>
    </w:p>
    <w:p w:rsidR="00DD4BCF" w:rsidRPr="00D60AA9" w:rsidRDefault="00DD4BCF" w:rsidP="00DD4BCF">
      <w:pPr>
        <w:rPr>
          <w:lang w:val="en-GB"/>
        </w:rPr>
      </w:pPr>
    </w:p>
    <w:sectPr w:rsidR="00DD4BCF" w:rsidRPr="00D60AA9" w:rsidSect="00BF21F6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2F" w:rsidRDefault="00A70D2F" w:rsidP="005D3788">
      <w:r>
        <w:separator/>
      </w:r>
    </w:p>
  </w:endnote>
  <w:endnote w:type="continuationSeparator" w:id="0">
    <w:p w:rsidR="00A70D2F" w:rsidRDefault="00A70D2F" w:rsidP="005D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6F" w:rsidRDefault="00341934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 w:rsidR="00E2516F">
      <w:instrText xml:space="preserve"> PAGE </w:instrText>
    </w:r>
    <w:r>
      <w:fldChar w:fldCharType="separate"/>
    </w:r>
    <w:r w:rsidR="00A21D3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2F" w:rsidRDefault="00A70D2F" w:rsidP="005D3788">
      <w:r>
        <w:separator/>
      </w:r>
    </w:p>
  </w:footnote>
  <w:footnote w:type="continuationSeparator" w:id="0">
    <w:p w:rsidR="00A70D2F" w:rsidRDefault="00A70D2F" w:rsidP="005D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CFA"/>
    <w:multiLevelType w:val="hybridMultilevel"/>
    <w:tmpl w:val="DF8C8F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03A1F"/>
    <w:multiLevelType w:val="hybridMultilevel"/>
    <w:tmpl w:val="26B66400"/>
    <w:lvl w:ilvl="0" w:tplc="040C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CF"/>
    <w:rsid w:val="000D311E"/>
    <w:rsid w:val="00173A81"/>
    <w:rsid w:val="001858B7"/>
    <w:rsid w:val="001979CF"/>
    <w:rsid w:val="001A2302"/>
    <w:rsid w:val="001B0964"/>
    <w:rsid w:val="001C5F96"/>
    <w:rsid w:val="001E19F2"/>
    <w:rsid w:val="002228BF"/>
    <w:rsid w:val="00230E7C"/>
    <w:rsid w:val="00234ADC"/>
    <w:rsid w:val="00242C1B"/>
    <w:rsid w:val="002854D3"/>
    <w:rsid w:val="002A2B1B"/>
    <w:rsid w:val="00330EE7"/>
    <w:rsid w:val="00341934"/>
    <w:rsid w:val="0034409D"/>
    <w:rsid w:val="0036771E"/>
    <w:rsid w:val="00367C39"/>
    <w:rsid w:val="003952E6"/>
    <w:rsid w:val="0039609B"/>
    <w:rsid w:val="003A7E75"/>
    <w:rsid w:val="004177F8"/>
    <w:rsid w:val="00421056"/>
    <w:rsid w:val="00432503"/>
    <w:rsid w:val="004413EC"/>
    <w:rsid w:val="0046470E"/>
    <w:rsid w:val="00496DFE"/>
    <w:rsid w:val="00506FFD"/>
    <w:rsid w:val="005543F7"/>
    <w:rsid w:val="005546F0"/>
    <w:rsid w:val="00575FDA"/>
    <w:rsid w:val="00580D3F"/>
    <w:rsid w:val="005A6F0B"/>
    <w:rsid w:val="005A7186"/>
    <w:rsid w:val="005B0183"/>
    <w:rsid w:val="005D3788"/>
    <w:rsid w:val="005D520C"/>
    <w:rsid w:val="00633309"/>
    <w:rsid w:val="00685B97"/>
    <w:rsid w:val="006B2A12"/>
    <w:rsid w:val="00701DE1"/>
    <w:rsid w:val="0071154F"/>
    <w:rsid w:val="00726F40"/>
    <w:rsid w:val="00792510"/>
    <w:rsid w:val="007C47D6"/>
    <w:rsid w:val="007D2C07"/>
    <w:rsid w:val="008008E1"/>
    <w:rsid w:val="008056E6"/>
    <w:rsid w:val="0080661F"/>
    <w:rsid w:val="00810E09"/>
    <w:rsid w:val="00833C0A"/>
    <w:rsid w:val="00845A63"/>
    <w:rsid w:val="00856E8F"/>
    <w:rsid w:val="008706C0"/>
    <w:rsid w:val="0087330E"/>
    <w:rsid w:val="008B5C8C"/>
    <w:rsid w:val="008C6B59"/>
    <w:rsid w:val="00901F2E"/>
    <w:rsid w:val="009A3DF4"/>
    <w:rsid w:val="009C61B9"/>
    <w:rsid w:val="009D696B"/>
    <w:rsid w:val="009F527E"/>
    <w:rsid w:val="009F712C"/>
    <w:rsid w:val="00A21D38"/>
    <w:rsid w:val="00A47B63"/>
    <w:rsid w:val="00A70D2F"/>
    <w:rsid w:val="00A84840"/>
    <w:rsid w:val="00A85C51"/>
    <w:rsid w:val="00A915D8"/>
    <w:rsid w:val="00A965D6"/>
    <w:rsid w:val="00AA01F5"/>
    <w:rsid w:val="00AA0A15"/>
    <w:rsid w:val="00AC2603"/>
    <w:rsid w:val="00AC7201"/>
    <w:rsid w:val="00AE074C"/>
    <w:rsid w:val="00B30AE0"/>
    <w:rsid w:val="00BB106A"/>
    <w:rsid w:val="00BC1701"/>
    <w:rsid w:val="00BD1F6D"/>
    <w:rsid w:val="00BF10C0"/>
    <w:rsid w:val="00BF21F6"/>
    <w:rsid w:val="00C125A5"/>
    <w:rsid w:val="00C3563B"/>
    <w:rsid w:val="00C84B07"/>
    <w:rsid w:val="00CF2E04"/>
    <w:rsid w:val="00CF6FEB"/>
    <w:rsid w:val="00D019EF"/>
    <w:rsid w:val="00D04045"/>
    <w:rsid w:val="00D33991"/>
    <w:rsid w:val="00D60AA9"/>
    <w:rsid w:val="00D6360B"/>
    <w:rsid w:val="00D9347C"/>
    <w:rsid w:val="00D96BCE"/>
    <w:rsid w:val="00DA49D9"/>
    <w:rsid w:val="00DB297E"/>
    <w:rsid w:val="00DB65F2"/>
    <w:rsid w:val="00DC1EB3"/>
    <w:rsid w:val="00DD4BCF"/>
    <w:rsid w:val="00DE1ABB"/>
    <w:rsid w:val="00DF76E1"/>
    <w:rsid w:val="00E20FDB"/>
    <w:rsid w:val="00E2516F"/>
    <w:rsid w:val="00E44442"/>
    <w:rsid w:val="00E509CC"/>
    <w:rsid w:val="00E62A21"/>
    <w:rsid w:val="00E62D50"/>
    <w:rsid w:val="00E941EA"/>
    <w:rsid w:val="00ED2010"/>
    <w:rsid w:val="00F33C10"/>
    <w:rsid w:val="00F66A37"/>
    <w:rsid w:val="00F840BD"/>
    <w:rsid w:val="00FC4526"/>
    <w:rsid w:val="00FD203B"/>
    <w:rsid w:val="00FD3E81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rsid w:val="00DD4B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PieddepageCar">
    <w:name w:val="Pied de page Car"/>
    <w:basedOn w:val="Policepardfaut"/>
    <w:link w:val="Pieddepage"/>
    <w:rsid w:val="00DD4BC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Corps">
    <w:name w:val="Corps"/>
    <w:link w:val="CorpsCar"/>
    <w:rsid w:val="00DD4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B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BC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Marquedecommentaire">
    <w:name w:val="annotation reference"/>
    <w:uiPriority w:val="99"/>
    <w:semiHidden/>
    <w:unhideWhenUsed/>
    <w:rsid w:val="00DD4BCF"/>
    <w:rPr>
      <w:sz w:val="16"/>
      <w:szCs w:val="16"/>
    </w:rPr>
  </w:style>
  <w:style w:type="character" w:customStyle="1" w:styleId="CorpsCar">
    <w:name w:val="Corps Car"/>
    <w:link w:val="Corps"/>
    <w:rsid w:val="00DD4BC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C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496DFE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E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E04"/>
    <w:rPr>
      <w:b/>
      <w:bCs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C996-1CC5-4375-BD8E-88E90015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jousses</dc:creator>
  <cp:lastModifiedBy>temp</cp:lastModifiedBy>
  <cp:revision>2</cp:revision>
  <cp:lastPrinted>2016-04-20T09:43:00Z</cp:lastPrinted>
  <dcterms:created xsi:type="dcterms:W3CDTF">2016-09-14T15:21:00Z</dcterms:created>
  <dcterms:modified xsi:type="dcterms:W3CDTF">2016-09-14T15:21:00Z</dcterms:modified>
</cp:coreProperties>
</file>