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BDA56" w14:textId="77777777" w:rsidR="00D25F60" w:rsidRDefault="00D25F60" w:rsidP="00D25F60">
      <w:pPr>
        <w:rPr>
          <w:b/>
        </w:rPr>
      </w:pPr>
      <w:r>
        <w:rPr>
          <w:b/>
        </w:rPr>
        <w:t>Supplementary Files</w:t>
      </w:r>
    </w:p>
    <w:p w14:paraId="1893D349" w14:textId="77777777" w:rsidR="00D25F60" w:rsidRDefault="00D25F60" w:rsidP="00D25F60">
      <w:pPr>
        <w:rPr>
          <w:b/>
        </w:rPr>
      </w:pPr>
    </w:p>
    <w:p w14:paraId="7A1D5A47" w14:textId="77777777" w:rsidR="00D25F60" w:rsidRDefault="00D25F60" w:rsidP="00D25F60">
      <w:r>
        <w:rPr>
          <w:b/>
        </w:rPr>
        <w:t xml:space="preserve">Table S1: Search terms </w:t>
      </w:r>
    </w:p>
    <w:p w14:paraId="531D4FED" w14:textId="77777777" w:rsidR="00D25F60" w:rsidRDefault="00D25F60" w:rsidP="00D25F60"/>
    <w:p w14:paraId="269013F0" w14:textId="77777777" w:rsidR="00D25F60" w:rsidRPr="0045543E" w:rsidRDefault="00D25F60" w:rsidP="00D25F60">
      <w:pPr>
        <w:rPr>
          <w:u w:val="single"/>
        </w:rPr>
      </w:pPr>
      <w:proofErr w:type="spellStart"/>
      <w:r w:rsidRPr="0045543E">
        <w:rPr>
          <w:u w:val="single"/>
        </w:rPr>
        <w:t>Pubmed</w:t>
      </w:r>
      <w:proofErr w:type="spellEnd"/>
      <w:r w:rsidRPr="0045543E">
        <w:rPr>
          <w:u w:val="single"/>
        </w:rPr>
        <w:t xml:space="preserve"> </w:t>
      </w:r>
    </w:p>
    <w:p w14:paraId="005993B1" w14:textId="77777777" w:rsidR="00D25F60" w:rsidRPr="0045543E" w:rsidRDefault="00D25F60" w:rsidP="00D25F60">
      <w:r w:rsidRPr="0045543E">
        <w:t xml:space="preserve">("Spondylitis, </w:t>
      </w:r>
      <w:proofErr w:type="spellStart"/>
      <w:r w:rsidRPr="0045543E">
        <w:t>Ankylosing</w:t>
      </w:r>
      <w:proofErr w:type="spellEnd"/>
      <w:r w:rsidRPr="0045543E">
        <w:t xml:space="preserve">" OR "Spondylitis </w:t>
      </w:r>
      <w:proofErr w:type="spellStart"/>
      <w:r w:rsidRPr="0045543E">
        <w:t>Ankylosing</w:t>
      </w:r>
      <w:proofErr w:type="spellEnd"/>
      <w:r w:rsidRPr="0045543E">
        <w:t xml:space="preserve">"[Title/Abstract] OR "AS"[Title/Abstract] OR “axial </w:t>
      </w:r>
      <w:proofErr w:type="spellStart"/>
      <w:r w:rsidRPr="0045543E">
        <w:t>SpA</w:t>
      </w:r>
      <w:proofErr w:type="spellEnd"/>
      <w:r w:rsidRPr="0045543E">
        <w:t>”[Title/Abstract] OR “</w:t>
      </w:r>
      <w:proofErr w:type="spellStart"/>
      <w:r w:rsidRPr="0045543E">
        <w:t>Ankylosing</w:t>
      </w:r>
      <w:proofErr w:type="spellEnd"/>
      <w:r w:rsidRPr="0045543E">
        <w:t xml:space="preserve"> Spondylitis”[Title/Abstract] OR “axial </w:t>
      </w:r>
      <w:proofErr w:type="spellStart"/>
      <w:r w:rsidRPr="0045543E">
        <w:t>spondyloarthritis</w:t>
      </w:r>
      <w:proofErr w:type="spellEnd"/>
      <w:r w:rsidRPr="0045543E">
        <w:t xml:space="preserve">”[Title/Abstract] OR "non-radiographic axial </w:t>
      </w:r>
      <w:proofErr w:type="spellStart"/>
      <w:r w:rsidRPr="0045543E">
        <w:t>spondyloarthritis</w:t>
      </w:r>
      <w:proofErr w:type="spellEnd"/>
      <w:r w:rsidRPr="0045543E">
        <w:t>"[All Fields</w:t>
      </w:r>
      <w:proofErr w:type="gramStart"/>
      <w:r w:rsidRPr="0045543E">
        <w:t>]  OR</w:t>
      </w:r>
      <w:proofErr w:type="gramEnd"/>
      <w:r w:rsidRPr="0045543E">
        <w:t xml:space="preserve"> "nr-</w:t>
      </w:r>
      <w:proofErr w:type="spellStart"/>
      <w:r w:rsidRPr="0045543E">
        <w:t>axSpA</w:t>
      </w:r>
      <w:proofErr w:type="spellEnd"/>
      <w:r w:rsidRPr="0045543E">
        <w:t>"[All Fields] OR (“axial” AND “</w:t>
      </w:r>
      <w:proofErr w:type="spellStart"/>
      <w:r w:rsidRPr="0045543E">
        <w:t>spondyl</w:t>
      </w:r>
      <w:proofErr w:type="spellEnd"/>
      <w:r w:rsidRPr="0045543E">
        <w:t>*”) OR ("</w:t>
      </w:r>
      <w:proofErr w:type="spellStart"/>
      <w:r w:rsidRPr="0045543E">
        <w:t>Spond</w:t>
      </w:r>
      <w:proofErr w:type="spellEnd"/>
      <w:r w:rsidRPr="0045543E">
        <w:t>*" AND (</w:t>
      </w:r>
      <w:proofErr w:type="spellStart"/>
      <w:r w:rsidRPr="0045543E">
        <w:t>ankylo</w:t>
      </w:r>
      <w:proofErr w:type="spellEnd"/>
      <w:r w:rsidRPr="0045543E">
        <w:t xml:space="preserve">* OR </w:t>
      </w:r>
      <w:proofErr w:type="spellStart"/>
      <w:r w:rsidRPr="0045543E">
        <w:t>rheumat</w:t>
      </w:r>
      <w:proofErr w:type="spellEnd"/>
      <w:r w:rsidRPr="0045543E">
        <w:t xml:space="preserve">*))) </w:t>
      </w:r>
    </w:p>
    <w:p w14:paraId="078394F1" w14:textId="77777777" w:rsidR="00D25F60" w:rsidRPr="0045543E" w:rsidRDefault="00D25F60" w:rsidP="00D25F60">
      <w:r w:rsidRPr="0045543E">
        <w:t xml:space="preserve">AND </w:t>
      </w:r>
    </w:p>
    <w:p w14:paraId="5DF59866" w14:textId="77777777" w:rsidR="00D25F60" w:rsidRPr="0045543E" w:rsidRDefault="00D25F60" w:rsidP="00D25F60">
      <w:r w:rsidRPr="0045543E">
        <w:t xml:space="preserve">("Infliximab" OR </w:t>
      </w:r>
      <w:proofErr w:type="gramStart"/>
      <w:r w:rsidRPr="0045543E">
        <w:t>infliximab[</w:t>
      </w:r>
      <w:proofErr w:type="gramEnd"/>
      <w:r w:rsidRPr="0045543E">
        <w:t xml:space="preserve">Title/Abstract] OR </w:t>
      </w:r>
      <w:proofErr w:type="spellStart"/>
      <w:r w:rsidRPr="0045543E">
        <w:t>remicade</w:t>
      </w:r>
      <w:proofErr w:type="spellEnd"/>
      <w:r w:rsidRPr="0045543E">
        <w:t xml:space="preserve">[Title/Abstract] OR </w:t>
      </w:r>
      <w:proofErr w:type="spellStart"/>
      <w:r w:rsidRPr="0045543E">
        <w:t>Inflectra</w:t>
      </w:r>
      <w:proofErr w:type="spellEnd"/>
      <w:r w:rsidRPr="0045543E">
        <w:t xml:space="preserve">[Title/Abstract]  OR "CT-P13" [Supplementary Concept] OR </w:t>
      </w:r>
      <w:proofErr w:type="spellStart"/>
      <w:r w:rsidRPr="0045543E">
        <w:t>remsima</w:t>
      </w:r>
      <w:proofErr w:type="spellEnd"/>
      <w:r w:rsidRPr="0045543E">
        <w:t>[Title/Abstract] OR "</w:t>
      </w:r>
      <w:proofErr w:type="spellStart"/>
      <w:r w:rsidRPr="0045543E">
        <w:t>Adalimumab</w:t>
      </w:r>
      <w:proofErr w:type="spellEnd"/>
      <w:r w:rsidRPr="0045543E">
        <w:t xml:space="preserve">" OR </w:t>
      </w:r>
      <w:proofErr w:type="spellStart"/>
      <w:r w:rsidRPr="0045543E">
        <w:t>adalimumab</w:t>
      </w:r>
      <w:proofErr w:type="spellEnd"/>
      <w:r w:rsidRPr="0045543E">
        <w:t xml:space="preserve">[Title/Abstract] OR </w:t>
      </w:r>
      <w:proofErr w:type="spellStart"/>
      <w:r w:rsidRPr="0045543E">
        <w:t>humira</w:t>
      </w:r>
      <w:proofErr w:type="spellEnd"/>
      <w:r w:rsidRPr="0045543E">
        <w:t>[Title/Abstract] OR "</w:t>
      </w:r>
      <w:proofErr w:type="spellStart"/>
      <w:r w:rsidRPr="0045543E">
        <w:t>golimumab</w:t>
      </w:r>
      <w:proofErr w:type="spellEnd"/>
      <w:r w:rsidRPr="0045543E">
        <w:t xml:space="preserve">"[Supplementary Concept] OR </w:t>
      </w:r>
      <w:proofErr w:type="spellStart"/>
      <w:r w:rsidRPr="0045543E">
        <w:t>golimumab</w:t>
      </w:r>
      <w:proofErr w:type="spellEnd"/>
      <w:r w:rsidRPr="0045543E">
        <w:t xml:space="preserve">[Title/Abstract] OR </w:t>
      </w:r>
      <w:proofErr w:type="spellStart"/>
      <w:r w:rsidRPr="0045543E">
        <w:t>simponi</w:t>
      </w:r>
      <w:proofErr w:type="spellEnd"/>
      <w:r w:rsidRPr="0045543E">
        <w:t>[Title/Abstract] OR "</w:t>
      </w:r>
      <w:proofErr w:type="spellStart"/>
      <w:r w:rsidRPr="0045543E">
        <w:t>Etanercept</w:t>
      </w:r>
      <w:proofErr w:type="spellEnd"/>
      <w:r w:rsidRPr="0045543E">
        <w:t xml:space="preserve">" OR </w:t>
      </w:r>
      <w:proofErr w:type="spellStart"/>
      <w:r w:rsidRPr="0045543E">
        <w:t>etanercept</w:t>
      </w:r>
      <w:proofErr w:type="spellEnd"/>
      <w:r w:rsidRPr="0045543E">
        <w:t xml:space="preserve">[Title/Abstract] OR </w:t>
      </w:r>
      <w:proofErr w:type="spellStart"/>
      <w:r w:rsidRPr="0045543E">
        <w:t>enbrel</w:t>
      </w:r>
      <w:proofErr w:type="spellEnd"/>
      <w:r w:rsidRPr="0045543E">
        <w:t>[Title/Abstract] OR "</w:t>
      </w:r>
      <w:proofErr w:type="spellStart"/>
      <w:r w:rsidRPr="0045543E">
        <w:t>Certolizumab</w:t>
      </w:r>
      <w:proofErr w:type="spellEnd"/>
      <w:r w:rsidRPr="0045543E">
        <w:t xml:space="preserve"> </w:t>
      </w:r>
      <w:proofErr w:type="spellStart"/>
      <w:r w:rsidRPr="0045543E">
        <w:t>Pegol</w:t>
      </w:r>
      <w:proofErr w:type="spellEnd"/>
      <w:r w:rsidRPr="0045543E">
        <w:t xml:space="preserve">" OR </w:t>
      </w:r>
      <w:proofErr w:type="spellStart"/>
      <w:r w:rsidRPr="0045543E">
        <w:t>certolizumab</w:t>
      </w:r>
      <w:proofErr w:type="spellEnd"/>
      <w:r w:rsidRPr="0045543E">
        <w:t>[Title/Abstract] OR "</w:t>
      </w:r>
      <w:proofErr w:type="spellStart"/>
      <w:r w:rsidRPr="0045543E">
        <w:t>certolizumab</w:t>
      </w:r>
      <w:proofErr w:type="spellEnd"/>
      <w:r w:rsidRPr="0045543E">
        <w:t xml:space="preserve"> </w:t>
      </w:r>
      <w:proofErr w:type="spellStart"/>
      <w:r w:rsidRPr="0045543E">
        <w:t>pegol</w:t>
      </w:r>
      <w:proofErr w:type="spellEnd"/>
      <w:r w:rsidRPr="0045543E">
        <w:t xml:space="preserve">"[Title/Abstract] OR </w:t>
      </w:r>
      <w:proofErr w:type="spellStart"/>
      <w:r w:rsidRPr="0045543E">
        <w:t>cimzia</w:t>
      </w:r>
      <w:proofErr w:type="spellEnd"/>
      <w:r w:rsidRPr="0045543E">
        <w:t>[Title/Abstract] OR "</w:t>
      </w:r>
      <w:proofErr w:type="spellStart"/>
      <w:r w:rsidRPr="0045543E">
        <w:t>Ustekinumab</w:t>
      </w:r>
      <w:proofErr w:type="spellEnd"/>
      <w:r w:rsidRPr="0045543E">
        <w:t xml:space="preserve">" OR </w:t>
      </w:r>
      <w:proofErr w:type="spellStart"/>
      <w:r w:rsidRPr="0045543E">
        <w:t>ustekinumab</w:t>
      </w:r>
      <w:proofErr w:type="spellEnd"/>
      <w:r w:rsidRPr="0045543E">
        <w:t xml:space="preserve">[Title/Abstract] OR </w:t>
      </w:r>
      <w:proofErr w:type="spellStart"/>
      <w:r w:rsidRPr="0045543E">
        <w:t>stelara</w:t>
      </w:r>
      <w:proofErr w:type="spellEnd"/>
      <w:r w:rsidRPr="0045543E">
        <w:t>[Title/Abstract] OR "</w:t>
      </w:r>
      <w:proofErr w:type="spellStart"/>
      <w:r w:rsidRPr="0045543E">
        <w:t>secukinumab</w:t>
      </w:r>
      <w:proofErr w:type="spellEnd"/>
      <w:r w:rsidRPr="0045543E">
        <w:t xml:space="preserve">"[Supplementary Concept] OR </w:t>
      </w:r>
      <w:proofErr w:type="spellStart"/>
      <w:r w:rsidRPr="0045543E">
        <w:t>secukinumab</w:t>
      </w:r>
      <w:proofErr w:type="spellEnd"/>
      <w:r w:rsidRPr="0045543E">
        <w:t xml:space="preserve">[Title/Abstract] OR </w:t>
      </w:r>
      <w:proofErr w:type="spellStart"/>
      <w:r w:rsidRPr="0045543E">
        <w:t>cosentyx</w:t>
      </w:r>
      <w:proofErr w:type="spellEnd"/>
      <w:r w:rsidRPr="0045543E">
        <w:t xml:space="preserve">[Title/Abstract] OR </w:t>
      </w:r>
      <w:proofErr w:type="spellStart"/>
      <w:r w:rsidRPr="0045543E">
        <w:t>Apremilast</w:t>
      </w:r>
      <w:proofErr w:type="spellEnd"/>
      <w:r w:rsidRPr="0045543E">
        <w:t>[All Fields] OR "</w:t>
      </w:r>
      <w:proofErr w:type="spellStart"/>
      <w:r w:rsidRPr="0045543E">
        <w:t>Tumor</w:t>
      </w:r>
      <w:proofErr w:type="spellEnd"/>
      <w:r w:rsidRPr="0045543E">
        <w:t xml:space="preserve"> Necrosis Factor-alpha/antagonists and inhibitors" OR "</w:t>
      </w:r>
      <w:proofErr w:type="spellStart"/>
      <w:r w:rsidRPr="0045543E">
        <w:t>tumor</w:t>
      </w:r>
      <w:proofErr w:type="spellEnd"/>
      <w:r w:rsidRPr="0045543E">
        <w:t xml:space="preserve"> necrosis factor-alpha antagonists"[Title/Abstract] OR "</w:t>
      </w:r>
      <w:proofErr w:type="spellStart"/>
      <w:r w:rsidRPr="0045543E">
        <w:t>tumor</w:t>
      </w:r>
      <w:proofErr w:type="spellEnd"/>
      <w:r w:rsidRPr="0045543E">
        <w:t xml:space="preserve"> necrosis factor-alpha inhibitors"[Title/Abstract] OR "anti-</w:t>
      </w:r>
      <w:proofErr w:type="spellStart"/>
      <w:r w:rsidRPr="0045543E">
        <w:t>tumor</w:t>
      </w:r>
      <w:proofErr w:type="spellEnd"/>
      <w:r w:rsidRPr="0045543E">
        <w:t xml:space="preserve"> necrosis factor-alpha"[Title/Abstract] OR "anti-</w:t>
      </w:r>
      <w:proofErr w:type="spellStart"/>
      <w:r w:rsidRPr="0045543E">
        <w:t>tnf</w:t>
      </w:r>
      <w:proofErr w:type="spellEnd"/>
      <w:r w:rsidRPr="0045543E">
        <w:t xml:space="preserve"> alpha"[Title/Abstract] OR "anti-</w:t>
      </w:r>
      <w:proofErr w:type="spellStart"/>
      <w:r w:rsidRPr="0045543E">
        <w:t>tnf</w:t>
      </w:r>
      <w:proofErr w:type="spellEnd"/>
      <w:r w:rsidRPr="0045543E">
        <w:t>"[Title/Abstract])</w:t>
      </w:r>
    </w:p>
    <w:p w14:paraId="31E467C6" w14:textId="77777777" w:rsidR="00D25F60" w:rsidRPr="0045543E" w:rsidRDefault="00D25F60" w:rsidP="00D25F60">
      <w:r w:rsidRPr="0045543E">
        <w:t>AND</w:t>
      </w:r>
    </w:p>
    <w:p w14:paraId="226DE29C" w14:textId="77777777" w:rsidR="00D25F60" w:rsidRPr="0045543E" w:rsidRDefault="00D25F60" w:rsidP="00D25F60">
      <w:r w:rsidRPr="0045543E">
        <w:t>(</w:t>
      </w:r>
      <w:proofErr w:type="gramStart"/>
      <w:r w:rsidRPr="0045543E">
        <w:t>BASDAI[</w:t>
      </w:r>
      <w:proofErr w:type="gramEnd"/>
      <w:r w:rsidRPr="0045543E">
        <w:t xml:space="preserve">Title/Abstract] OR “Bath </w:t>
      </w:r>
      <w:proofErr w:type="spellStart"/>
      <w:r w:rsidRPr="0045543E">
        <w:t>Ankylosing</w:t>
      </w:r>
      <w:proofErr w:type="spellEnd"/>
      <w:r w:rsidRPr="0045543E">
        <w:t xml:space="preserve"> Spondylitis Disease Activity Index”[Title/Abstract] </w:t>
      </w:r>
    </w:p>
    <w:p w14:paraId="6C9B3FAE" w14:textId="77777777" w:rsidR="00D25F60" w:rsidRPr="0045543E" w:rsidRDefault="00D25F60" w:rsidP="00D25F60">
      <w:r w:rsidRPr="0045543E">
        <w:t xml:space="preserve">OR </w:t>
      </w:r>
      <w:proofErr w:type="gramStart"/>
      <w:r w:rsidRPr="0045543E">
        <w:t>BASFI[</w:t>
      </w:r>
      <w:proofErr w:type="gramEnd"/>
      <w:r w:rsidRPr="0045543E">
        <w:t xml:space="preserve">Title/Abstract] OR “Bath </w:t>
      </w:r>
      <w:proofErr w:type="spellStart"/>
      <w:r w:rsidRPr="0045543E">
        <w:t>Ankylosing</w:t>
      </w:r>
      <w:proofErr w:type="spellEnd"/>
      <w:r w:rsidRPr="0045543E">
        <w:t xml:space="preserve"> Spondylitis Functional Index”[Title/Abstract]</w:t>
      </w:r>
    </w:p>
    <w:p w14:paraId="1AE6DB38" w14:textId="77777777" w:rsidR="00D25F60" w:rsidRPr="0045543E" w:rsidRDefault="00D25F60" w:rsidP="00D25F60">
      <w:r w:rsidRPr="0045543E">
        <w:t xml:space="preserve">OR </w:t>
      </w:r>
      <w:proofErr w:type="gramStart"/>
      <w:r w:rsidRPr="0045543E">
        <w:t>BASMI[</w:t>
      </w:r>
      <w:proofErr w:type="gramEnd"/>
      <w:r w:rsidRPr="0045543E">
        <w:t xml:space="preserve">Title/Abstract] OR “bath </w:t>
      </w:r>
      <w:proofErr w:type="spellStart"/>
      <w:r w:rsidRPr="0045543E">
        <w:t>ankylosing</w:t>
      </w:r>
      <w:proofErr w:type="spellEnd"/>
      <w:r w:rsidRPr="0045543E">
        <w:t xml:space="preserve"> spondylitis metrology index”[Title/Abstract]</w:t>
      </w:r>
    </w:p>
    <w:p w14:paraId="2574A120" w14:textId="77777777" w:rsidR="00D25F60" w:rsidRPr="0045543E" w:rsidRDefault="00D25F60" w:rsidP="00D25F60">
      <w:r w:rsidRPr="0045543E">
        <w:t xml:space="preserve">OR </w:t>
      </w:r>
      <w:proofErr w:type="gramStart"/>
      <w:r w:rsidRPr="0045543E">
        <w:t>ASDAS[</w:t>
      </w:r>
      <w:proofErr w:type="gramEnd"/>
      <w:r w:rsidRPr="0045543E">
        <w:t>Title/Abstract] OR “</w:t>
      </w:r>
      <w:proofErr w:type="spellStart"/>
      <w:r w:rsidRPr="0045543E">
        <w:t>Ankylosing</w:t>
      </w:r>
      <w:proofErr w:type="spellEnd"/>
      <w:r w:rsidRPr="0045543E">
        <w:t xml:space="preserve"> Spondylitis Disease Activity Score”[Title/Abstract] OR ASAS*[Title/Abstract] OR “ASAS partial remission”[Title/Abstract] </w:t>
      </w:r>
    </w:p>
    <w:p w14:paraId="065621CB" w14:textId="77777777" w:rsidR="00D25F60" w:rsidRPr="0045543E" w:rsidRDefault="00D25F60" w:rsidP="00D25F60">
      <w:r w:rsidRPr="0045543E">
        <w:t xml:space="preserve">OR "modified Stoke </w:t>
      </w:r>
      <w:proofErr w:type="spellStart"/>
      <w:r w:rsidRPr="0045543E">
        <w:t>Ankylosing</w:t>
      </w:r>
      <w:proofErr w:type="spellEnd"/>
      <w:r w:rsidRPr="0045543E">
        <w:t xml:space="preserve"> Spondylitis Spine Score"[Title/Abstract] OR "</w:t>
      </w:r>
      <w:proofErr w:type="spellStart"/>
      <w:r w:rsidRPr="0045543E">
        <w:t>mSASSS</w:t>
      </w:r>
      <w:proofErr w:type="spellEnd"/>
      <w:r w:rsidRPr="0045543E">
        <w:t xml:space="preserve">"[Title/Abstract] OR “Modified Stoke </w:t>
      </w:r>
      <w:proofErr w:type="spellStart"/>
      <w:r w:rsidRPr="0045543E">
        <w:t>Ankylosing</w:t>
      </w:r>
      <w:proofErr w:type="spellEnd"/>
      <w:r w:rsidRPr="0045543E">
        <w:t xml:space="preserve"> Spondylitis Spinal Score”[Title/Abstract])</w:t>
      </w:r>
    </w:p>
    <w:p w14:paraId="315B2211" w14:textId="77777777" w:rsidR="00D25F60" w:rsidRPr="0045543E" w:rsidRDefault="00D25F60" w:rsidP="00D25F60">
      <w:r w:rsidRPr="0045543E">
        <w:t>NOT ("Animals" NOT ("Animals" AND "Humans"))</w:t>
      </w:r>
    </w:p>
    <w:p w14:paraId="1036BE4B" w14:textId="77777777" w:rsidR="00D25F60" w:rsidRPr="0045543E" w:rsidRDefault="00D25F60" w:rsidP="00D25F60">
      <w:r w:rsidRPr="0045543E">
        <w:t>Filters: Publication date from 2008/01/01 to 2016/12/31; English; French; Spanish</w:t>
      </w:r>
    </w:p>
    <w:p w14:paraId="1F2F0E1A" w14:textId="77777777" w:rsidR="00D25F60" w:rsidRPr="0045543E" w:rsidRDefault="00D25F60" w:rsidP="00D25F60">
      <w:pPr>
        <w:rPr>
          <w:u w:val="single"/>
        </w:rPr>
      </w:pPr>
    </w:p>
    <w:p w14:paraId="6B3CC087" w14:textId="77777777" w:rsidR="00D25F60" w:rsidRPr="0045543E" w:rsidRDefault="00D25F60" w:rsidP="00D25F60">
      <w:pPr>
        <w:rPr>
          <w:u w:val="single"/>
        </w:rPr>
      </w:pPr>
    </w:p>
    <w:p w14:paraId="14B2E705" w14:textId="77777777" w:rsidR="00D25F60" w:rsidRPr="0045543E" w:rsidRDefault="00D25F60" w:rsidP="00D25F60">
      <w:pPr>
        <w:rPr>
          <w:u w:val="single"/>
        </w:rPr>
      </w:pPr>
      <w:proofErr w:type="spellStart"/>
      <w:r w:rsidRPr="0045543E">
        <w:rPr>
          <w:u w:val="single"/>
        </w:rPr>
        <w:t>Embase</w:t>
      </w:r>
      <w:proofErr w:type="spellEnd"/>
      <w:r w:rsidRPr="0045543E">
        <w:rPr>
          <w:u w:val="single"/>
        </w:rPr>
        <w:t xml:space="preserve"> </w:t>
      </w:r>
    </w:p>
    <w:p w14:paraId="2E55548E" w14:textId="77777777" w:rsidR="00D25F60" w:rsidRPr="0045543E" w:rsidRDefault="00D25F60" w:rsidP="00D25F60">
      <w:r w:rsidRPr="0045543E">
        <w:t>'</w:t>
      </w:r>
      <w:proofErr w:type="spellStart"/>
      <w:proofErr w:type="gramStart"/>
      <w:r w:rsidRPr="0045543E">
        <w:t>ankylosing</w:t>
      </w:r>
      <w:proofErr w:type="spellEnd"/>
      <w:proofErr w:type="gramEnd"/>
      <w:r w:rsidRPr="0045543E">
        <w:t xml:space="preserve"> spondylitis'/de OR 'spondylitis </w:t>
      </w:r>
      <w:proofErr w:type="spellStart"/>
      <w:r w:rsidRPr="0045543E">
        <w:t>ankylosing</w:t>
      </w:r>
      <w:proofErr w:type="spellEnd"/>
      <w:r w:rsidRPr="0045543E">
        <w:t>':</w:t>
      </w:r>
      <w:proofErr w:type="spellStart"/>
      <w:r w:rsidRPr="0045543E">
        <w:t>ab,ti</w:t>
      </w:r>
      <w:proofErr w:type="spellEnd"/>
      <w:r w:rsidRPr="0045543E">
        <w:t xml:space="preserve"> OR 'axial spa':</w:t>
      </w:r>
      <w:proofErr w:type="spellStart"/>
      <w:r w:rsidRPr="0045543E">
        <w:t>ab,ti</w:t>
      </w:r>
      <w:proofErr w:type="spellEnd"/>
      <w:r w:rsidRPr="0045543E">
        <w:t xml:space="preserve"> OR '</w:t>
      </w:r>
      <w:proofErr w:type="spellStart"/>
      <w:r w:rsidRPr="0045543E">
        <w:t>ankylosing</w:t>
      </w:r>
      <w:proofErr w:type="spellEnd"/>
      <w:r w:rsidRPr="0045543E">
        <w:t xml:space="preserve"> spondylitis':</w:t>
      </w:r>
      <w:proofErr w:type="spellStart"/>
      <w:r w:rsidRPr="0045543E">
        <w:t>ab,ti</w:t>
      </w:r>
      <w:proofErr w:type="spellEnd"/>
      <w:r w:rsidRPr="0045543E">
        <w:t xml:space="preserve"> OR 'axial </w:t>
      </w:r>
      <w:proofErr w:type="spellStart"/>
      <w:r w:rsidRPr="0045543E">
        <w:t>spondyloarthritis</w:t>
      </w:r>
      <w:proofErr w:type="spellEnd"/>
      <w:r w:rsidRPr="0045543E">
        <w:t>':</w:t>
      </w:r>
      <w:proofErr w:type="spellStart"/>
      <w:r w:rsidRPr="0045543E">
        <w:t>ab,ti</w:t>
      </w:r>
      <w:proofErr w:type="spellEnd"/>
      <w:r w:rsidRPr="0045543E">
        <w:t xml:space="preserve"> OR 'non-radiographic axial </w:t>
      </w:r>
      <w:proofErr w:type="spellStart"/>
      <w:r w:rsidRPr="0045543E">
        <w:t>spondyloarthritis</w:t>
      </w:r>
      <w:proofErr w:type="spellEnd"/>
      <w:r w:rsidRPr="0045543E">
        <w:t>':</w:t>
      </w:r>
      <w:proofErr w:type="spellStart"/>
      <w:r w:rsidRPr="0045543E">
        <w:t>ab,ti</w:t>
      </w:r>
      <w:proofErr w:type="spellEnd"/>
      <w:r w:rsidRPr="0045543E">
        <w:t xml:space="preserve"> OR '</w:t>
      </w:r>
      <w:proofErr w:type="spellStart"/>
      <w:r w:rsidRPr="0045543E">
        <w:t>nr-ax</w:t>
      </w:r>
      <w:proofErr w:type="spellEnd"/>
      <w:r w:rsidRPr="0045543E">
        <w:t>spa':</w:t>
      </w:r>
      <w:proofErr w:type="spellStart"/>
      <w:r w:rsidRPr="0045543E">
        <w:t>ab,ti</w:t>
      </w:r>
      <w:proofErr w:type="spellEnd"/>
      <w:r w:rsidRPr="0045543E">
        <w:t xml:space="preserve"> OR (</w:t>
      </w:r>
      <w:proofErr w:type="spellStart"/>
      <w:r w:rsidRPr="0045543E">
        <w:t>axial:ab,ti</w:t>
      </w:r>
      <w:proofErr w:type="spellEnd"/>
      <w:r w:rsidRPr="0045543E">
        <w:t xml:space="preserve"> AND </w:t>
      </w:r>
      <w:proofErr w:type="spellStart"/>
      <w:r w:rsidRPr="0045543E">
        <w:t>spondyl</w:t>
      </w:r>
      <w:proofErr w:type="spellEnd"/>
      <w:r w:rsidRPr="0045543E">
        <w:t>*:</w:t>
      </w:r>
      <w:proofErr w:type="spellStart"/>
      <w:r w:rsidRPr="0045543E">
        <w:t>ab,ti</w:t>
      </w:r>
      <w:proofErr w:type="spellEnd"/>
      <w:r w:rsidRPr="0045543E">
        <w:t>) OR (</w:t>
      </w:r>
      <w:proofErr w:type="spellStart"/>
      <w:r w:rsidRPr="0045543E">
        <w:t>spond</w:t>
      </w:r>
      <w:proofErr w:type="spellEnd"/>
      <w:r w:rsidRPr="0045543E">
        <w:t>*:</w:t>
      </w:r>
      <w:proofErr w:type="spellStart"/>
      <w:r w:rsidRPr="0045543E">
        <w:t>ab,ti</w:t>
      </w:r>
      <w:proofErr w:type="spellEnd"/>
      <w:r w:rsidRPr="0045543E">
        <w:t xml:space="preserve"> AND (</w:t>
      </w:r>
      <w:proofErr w:type="spellStart"/>
      <w:r w:rsidRPr="0045543E">
        <w:t>ankylo</w:t>
      </w:r>
      <w:proofErr w:type="spellEnd"/>
      <w:r w:rsidRPr="0045543E">
        <w:t>*:</w:t>
      </w:r>
      <w:proofErr w:type="spellStart"/>
      <w:r w:rsidRPr="0045543E">
        <w:t>ab,ti</w:t>
      </w:r>
      <w:proofErr w:type="spellEnd"/>
      <w:r w:rsidRPr="0045543E">
        <w:t xml:space="preserve"> OR </w:t>
      </w:r>
      <w:proofErr w:type="spellStart"/>
      <w:r w:rsidRPr="0045543E">
        <w:t>rheumat</w:t>
      </w:r>
      <w:proofErr w:type="spellEnd"/>
      <w:r w:rsidRPr="0045543E">
        <w:t>*:</w:t>
      </w:r>
      <w:proofErr w:type="spellStart"/>
      <w:r w:rsidRPr="0045543E">
        <w:t>ab,ti</w:t>
      </w:r>
      <w:proofErr w:type="spellEnd"/>
      <w:r w:rsidRPr="0045543E">
        <w:t>)) AND ('</w:t>
      </w:r>
      <w:proofErr w:type="spellStart"/>
      <w:r w:rsidRPr="0045543E">
        <w:t>tumor</w:t>
      </w:r>
      <w:proofErr w:type="spellEnd"/>
      <w:r w:rsidRPr="0045543E">
        <w:t xml:space="preserve"> necrosis factor alpha antagonists':</w:t>
      </w:r>
      <w:proofErr w:type="spellStart"/>
      <w:r w:rsidRPr="0045543E">
        <w:t>ab,ti</w:t>
      </w:r>
      <w:proofErr w:type="spellEnd"/>
      <w:r w:rsidRPr="0045543E">
        <w:t xml:space="preserve"> OR 'anti-</w:t>
      </w:r>
      <w:proofErr w:type="spellStart"/>
      <w:r w:rsidRPr="0045543E">
        <w:t>tumor</w:t>
      </w:r>
      <w:proofErr w:type="spellEnd"/>
      <w:r w:rsidRPr="0045543E">
        <w:t xml:space="preserve"> necrosis factor </w:t>
      </w:r>
      <w:r w:rsidRPr="0045543E">
        <w:lastRenderedPageBreak/>
        <w:t>agent':</w:t>
      </w:r>
      <w:proofErr w:type="spellStart"/>
      <w:r w:rsidRPr="0045543E">
        <w:t>ab,ti</w:t>
      </w:r>
      <w:proofErr w:type="spellEnd"/>
      <w:r w:rsidRPr="0045543E">
        <w:t xml:space="preserve"> OR '</w:t>
      </w:r>
      <w:proofErr w:type="spellStart"/>
      <w:r w:rsidRPr="0045543E">
        <w:t>tumor</w:t>
      </w:r>
      <w:proofErr w:type="spellEnd"/>
      <w:r w:rsidRPr="0045543E">
        <w:t xml:space="preserve"> necrosis factor inhibitor'/</w:t>
      </w:r>
      <w:proofErr w:type="spellStart"/>
      <w:r w:rsidRPr="0045543E">
        <w:t>exp</w:t>
      </w:r>
      <w:proofErr w:type="spellEnd"/>
      <w:r w:rsidRPr="0045543E">
        <w:t xml:space="preserve"> OR '</w:t>
      </w:r>
      <w:proofErr w:type="spellStart"/>
      <w:r w:rsidRPr="0045543E">
        <w:t>tumor</w:t>
      </w:r>
      <w:proofErr w:type="spellEnd"/>
      <w:r w:rsidRPr="0045543E">
        <w:t xml:space="preserve"> necrosis factor inhibitor':</w:t>
      </w:r>
      <w:proofErr w:type="spellStart"/>
      <w:r w:rsidRPr="0045543E">
        <w:t>ab,ti</w:t>
      </w:r>
      <w:proofErr w:type="spellEnd"/>
      <w:r w:rsidRPr="0045543E">
        <w:t xml:space="preserve"> OR '</w:t>
      </w:r>
      <w:proofErr w:type="spellStart"/>
      <w:r w:rsidRPr="0045543E">
        <w:t>tumor</w:t>
      </w:r>
      <w:proofErr w:type="spellEnd"/>
      <w:r w:rsidRPr="0045543E">
        <w:t xml:space="preserve"> necrosis factor alpha inhibitor'/</w:t>
      </w:r>
      <w:proofErr w:type="spellStart"/>
      <w:r w:rsidRPr="0045543E">
        <w:t>exp</w:t>
      </w:r>
      <w:proofErr w:type="spellEnd"/>
      <w:r w:rsidRPr="0045543E">
        <w:t xml:space="preserve"> OR '</w:t>
      </w:r>
      <w:proofErr w:type="spellStart"/>
      <w:r w:rsidRPr="0045543E">
        <w:t>tumor</w:t>
      </w:r>
      <w:proofErr w:type="spellEnd"/>
      <w:r w:rsidRPr="0045543E">
        <w:t xml:space="preserve"> necrosis factor alpha inhibitor':</w:t>
      </w:r>
      <w:proofErr w:type="spellStart"/>
      <w:r w:rsidRPr="0045543E">
        <w:t>ab,ti</w:t>
      </w:r>
      <w:proofErr w:type="spellEnd"/>
      <w:r w:rsidRPr="0045543E">
        <w:t xml:space="preserve"> OR 'anti-</w:t>
      </w:r>
      <w:proofErr w:type="spellStart"/>
      <w:r w:rsidRPr="0045543E">
        <w:t>tumor</w:t>
      </w:r>
      <w:proofErr w:type="spellEnd"/>
      <w:r w:rsidRPr="0045543E">
        <w:t xml:space="preserve"> necrosis factor-alpha':</w:t>
      </w:r>
      <w:proofErr w:type="spellStart"/>
      <w:r w:rsidRPr="0045543E">
        <w:t>ab,ti</w:t>
      </w:r>
      <w:proofErr w:type="spellEnd"/>
      <w:r w:rsidRPr="0045543E">
        <w:t xml:space="preserve"> OR 'anti-</w:t>
      </w:r>
      <w:proofErr w:type="spellStart"/>
      <w:r w:rsidRPr="0045543E">
        <w:t>tnf</w:t>
      </w:r>
      <w:proofErr w:type="spellEnd"/>
      <w:r w:rsidRPr="0045543E">
        <w:t xml:space="preserve"> alpha':</w:t>
      </w:r>
      <w:proofErr w:type="spellStart"/>
      <w:r w:rsidRPr="0045543E">
        <w:t>ab,ti</w:t>
      </w:r>
      <w:proofErr w:type="spellEnd"/>
      <w:r w:rsidRPr="0045543E">
        <w:t xml:space="preserve"> OR '</w:t>
      </w:r>
      <w:proofErr w:type="spellStart"/>
      <w:r w:rsidRPr="0045543E">
        <w:t>anti-tnf</w:t>
      </w:r>
      <w:proofErr w:type="spellEnd"/>
      <w:r w:rsidRPr="0045543E">
        <w:t>':</w:t>
      </w:r>
      <w:proofErr w:type="spellStart"/>
      <w:r w:rsidRPr="0045543E">
        <w:t>ab,ti</w:t>
      </w:r>
      <w:proofErr w:type="spellEnd"/>
      <w:r w:rsidRPr="0045543E">
        <w:t xml:space="preserve"> OR 'infliximab'/</w:t>
      </w:r>
      <w:proofErr w:type="spellStart"/>
      <w:r w:rsidRPr="0045543E">
        <w:t>exp</w:t>
      </w:r>
      <w:proofErr w:type="spellEnd"/>
      <w:r w:rsidRPr="0045543E">
        <w:t xml:space="preserve"> OR </w:t>
      </w:r>
      <w:proofErr w:type="spellStart"/>
      <w:r w:rsidRPr="0045543E">
        <w:t>infliximab:ab,ti</w:t>
      </w:r>
      <w:proofErr w:type="spellEnd"/>
      <w:r w:rsidRPr="0045543E">
        <w:t xml:space="preserve"> OR '</w:t>
      </w:r>
      <w:proofErr w:type="spellStart"/>
      <w:r w:rsidRPr="0045543E">
        <w:t>remicade</w:t>
      </w:r>
      <w:proofErr w:type="spellEnd"/>
      <w:r w:rsidRPr="0045543E">
        <w:t>'/</w:t>
      </w:r>
      <w:proofErr w:type="spellStart"/>
      <w:r w:rsidRPr="0045543E">
        <w:t>exp</w:t>
      </w:r>
      <w:proofErr w:type="spellEnd"/>
      <w:r w:rsidRPr="0045543E">
        <w:t xml:space="preserve"> OR </w:t>
      </w:r>
      <w:proofErr w:type="spellStart"/>
      <w:r w:rsidRPr="0045543E">
        <w:t>remicade:ab,ti</w:t>
      </w:r>
      <w:proofErr w:type="spellEnd"/>
      <w:r w:rsidRPr="0045543E">
        <w:t xml:space="preserve"> OR </w:t>
      </w:r>
      <w:proofErr w:type="spellStart"/>
      <w:r w:rsidRPr="0045543E">
        <w:t>inflectra:ab,ti</w:t>
      </w:r>
      <w:proofErr w:type="spellEnd"/>
      <w:r w:rsidRPr="0045543E">
        <w:t xml:space="preserve"> OR 'ct-p13':ab,ti OR </w:t>
      </w:r>
      <w:proofErr w:type="spellStart"/>
      <w:r w:rsidRPr="0045543E">
        <w:t>remsima:ab,ti</w:t>
      </w:r>
      <w:proofErr w:type="spellEnd"/>
      <w:r w:rsidRPr="0045543E">
        <w:t xml:space="preserve"> OR '</w:t>
      </w:r>
      <w:proofErr w:type="spellStart"/>
      <w:r w:rsidRPr="0045543E">
        <w:t>etanercept</w:t>
      </w:r>
      <w:proofErr w:type="spellEnd"/>
      <w:r w:rsidRPr="0045543E">
        <w:t>'/</w:t>
      </w:r>
      <w:proofErr w:type="spellStart"/>
      <w:r w:rsidRPr="0045543E">
        <w:t>exp</w:t>
      </w:r>
      <w:proofErr w:type="spellEnd"/>
      <w:r w:rsidRPr="0045543E">
        <w:t xml:space="preserve"> OR </w:t>
      </w:r>
      <w:proofErr w:type="spellStart"/>
      <w:r w:rsidRPr="0045543E">
        <w:t>etanercept:ab,ti</w:t>
      </w:r>
      <w:proofErr w:type="spellEnd"/>
      <w:r w:rsidRPr="0045543E">
        <w:t xml:space="preserve"> OR '</w:t>
      </w:r>
      <w:proofErr w:type="spellStart"/>
      <w:r w:rsidRPr="0045543E">
        <w:t>enbrel</w:t>
      </w:r>
      <w:proofErr w:type="spellEnd"/>
      <w:r w:rsidRPr="0045543E">
        <w:t>'/</w:t>
      </w:r>
      <w:proofErr w:type="spellStart"/>
      <w:r w:rsidRPr="0045543E">
        <w:t>exp</w:t>
      </w:r>
      <w:proofErr w:type="spellEnd"/>
      <w:r w:rsidRPr="0045543E">
        <w:t xml:space="preserve"> OR </w:t>
      </w:r>
      <w:proofErr w:type="spellStart"/>
      <w:r w:rsidRPr="0045543E">
        <w:t>enbrel:ab,ti</w:t>
      </w:r>
      <w:proofErr w:type="spellEnd"/>
      <w:r w:rsidRPr="0045543E">
        <w:t xml:space="preserve"> OR '</w:t>
      </w:r>
      <w:proofErr w:type="spellStart"/>
      <w:r w:rsidRPr="0045543E">
        <w:t>adalimumab</w:t>
      </w:r>
      <w:proofErr w:type="spellEnd"/>
      <w:r w:rsidRPr="0045543E">
        <w:t>'/</w:t>
      </w:r>
      <w:proofErr w:type="spellStart"/>
      <w:r w:rsidRPr="0045543E">
        <w:t>exp</w:t>
      </w:r>
      <w:proofErr w:type="spellEnd"/>
      <w:r w:rsidRPr="0045543E">
        <w:t xml:space="preserve"> OR </w:t>
      </w:r>
      <w:proofErr w:type="spellStart"/>
      <w:r w:rsidRPr="0045543E">
        <w:t>adalimumab:ab,ti</w:t>
      </w:r>
      <w:proofErr w:type="spellEnd"/>
      <w:r w:rsidRPr="0045543E">
        <w:t xml:space="preserve"> OR '</w:t>
      </w:r>
      <w:proofErr w:type="spellStart"/>
      <w:r w:rsidRPr="0045543E">
        <w:t>humira</w:t>
      </w:r>
      <w:proofErr w:type="spellEnd"/>
      <w:r w:rsidRPr="0045543E">
        <w:t>'/</w:t>
      </w:r>
      <w:proofErr w:type="spellStart"/>
      <w:r w:rsidRPr="0045543E">
        <w:t>exp</w:t>
      </w:r>
      <w:proofErr w:type="spellEnd"/>
      <w:r w:rsidRPr="0045543E">
        <w:t xml:space="preserve"> OR </w:t>
      </w:r>
      <w:proofErr w:type="spellStart"/>
      <w:r w:rsidRPr="0045543E">
        <w:t>humira:ab,ti</w:t>
      </w:r>
      <w:proofErr w:type="spellEnd"/>
      <w:r w:rsidRPr="0045543E">
        <w:t xml:space="preserve"> OR '</w:t>
      </w:r>
      <w:proofErr w:type="spellStart"/>
      <w:r w:rsidRPr="0045543E">
        <w:t>golimumab</w:t>
      </w:r>
      <w:proofErr w:type="spellEnd"/>
      <w:r w:rsidRPr="0045543E">
        <w:t>'/</w:t>
      </w:r>
      <w:proofErr w:type="spellStart"/>
      <w:r w:rsidRPr="0045543E">
        <w:t>exp</w:t>
      </w:r>
      <w:proofErr w:type="spellEnd"/>
      <w:r w:rsidRPr="0045543E">
        <w:t xml:space="preserve"> OR </w:t>
      </w:r>
      <w:proofErr w:type="spellStart"/>
      <w:r w:rsidRPr="0045543E">
        <w:t>golimumab:ab,ti</w:t>
      </w:r>
      <w:proofErr w:type="spellEnd"/>
      <w:r w:rsidRPr="0045543E">
        <w:t xml:space="preserve"> OR '</w:t>
      </w:r>
      <w:proofErr w:type="spellStart"/>
      <w:r w:rsidRPr="0045543E">
        <w:t>simponi</w:t>
      </w:r>
      <w:proofErr w:type="spellEnd"/>
      <w:r w:rsidRPr="0045543E">
        <w:t>'/</w:t>
      </w:r>
      <w:proofErr w:type="spellStart"/>
      <w:r w:rsidRPr="0045543E">
        <w:t>exp</w:t>
      </w:r>
      <w:proofErr w:type="spellEnd"/>
      <w:r w:rsidRPr="0045543E">
        <w:t xml:space="preserve"> OR </w:t>
      </w:r>
      <w:proofErr w:type="spellStart"/>
      <w:r w:rsidRPr="0045543E">
        <w:t>simponi:ab,ti</w:t>
      </w:r>
      <w:proofErr w:type="spellEnd"/>
      <w:r w:rsidRPr="0045543E">
        <w:t xml:space="preserve"> OR '</w:t>
      </w:r>
      <w:proofErr w:type="spellStart"/>
      <w:r w:rsidRPr="0045543E">
        <w:t>certolizumab</w:t>
      </w:r>
      <w:proofErr w:type="spellEnd"/>
      <w:r w:rsidRPr="0045543E">
        <w:t xml:space="preserve"> </w:t>
      </w:r>
      <w:proofErr w:type="spellStart"/>
      <w:r w:rsidRPr="0045543E">
        <w:t>pegol</w:t>
      </w:r>
      <w:proofErr w:type="spellEnd"/>
      <w:r w:rsidRPr="0045543E">
        <w:t>'/</w:t>
      </w:r>
      <w:proofErr w:type="spellStart"/>
      <w:r w:rsidRPr="0045543E">
        <w:t>exp</w:t>
      </w:r>
      <w:proofErr w:type="spellEnd"/>
      <w:r w:rsidRPr="0045543E">
        <w:t xml:space="preserve"> OR '</w:t>
      </w:r>
      <w:proofErr w:type="spellStart"/>
      <w:r w:rsidRPr="0045543E">
        <w:t>certolizumab</w:t>
      </w:r>
      <w:proofErr w:type="spellEnd"/>
      <w:r w:rsidRPr="0045543E">
        <w:t>':</w:t>
      </w:r>
      <w:proofErr w:type="spellStart"/>
      <w:r w:rsidRPr="0045543E">
        <w:t>ab,ti</w:t>
      </w:r>
      <w:proofErr w:type="spellEnd"/>
      <w:r w:rsidRPr="0045543E">
        <w:t xml:space="preserve"> OR '</w:t>
      </w:r>
      <w:proofErr w:type="spellStart"/>
      <w:r w:rsidRPr="0045543E">
        <w:t>cimzia</w:t>
      </w:r>
      <w:proofErr w:type="spellEnd"/>
      <w:r w:rsidRPr="0045543E">
        <w:t>'/</w:t>
      </w:r>
      <w:proofErr w:type="spellStart"/>
      <w:r w:rsidRPr="0045543E">
        <w:t>exp</w:t>
      </w:r>
      <w:proofErr w:type="spellEnd"/>
      <w:r w:rsidRPr="0045543E">
        <w:t xml:space="preserve"> OR </w:t>
      </w:r>
      <w:proofErr w:type="spellStart"/>
      <w:r w:rsidRPr="0045543E">
        <w:t>cimzia:ab,ti</w:t>
      </w:r>
      <w:proofErr w:type="spellEnd"/>
      <w:r w:rsidRPr="0045543E">
        <w:t xml:space="preserve"> OR '</w:t>
      </w:r>
      <w:proofErr w:type="spellStart"/>
      <w:r w:rsidRPr="0045543E">
        <w:t>ustekinumab</w:t>
      </w:r>
      <w:proofErr w:type="spellEnd"/>
      <w:r w:rsidRPr="0045543E">
        <w:t>'/</w:t>
      </w:r>
      <w:proofErr w:type="spellStart"/>
      <w:r w:rsidRPr="0045543E">
        <w:t>exp</w:t>
      </w:r>
      <w:proofErr w:type="spellEnd"/>
      <w:r w:rsidRPr="0045543E">
        <w:t xml:space="preserve"> OR </w:t>
      </w:r>
      <w:proofErr w:type="spellStart"/>
      <w:r w:rsidRPr="0045543E">
        <w:t>ustekinumab:ab,ti</w:t>
      </w:r>
      <w:proofErr w:type="spellEnd"/>
      <w:r w:rsidRPr="0045543E">
        <w:t xml:space="preserve"> OR </w:t>
      </w:r>
      <w:proofErr w:type="spellStart"/>
      <w:r w:rsidRPr="0045543E">
        <w:t>stelara:ab,ti</w:t>
      </w:r>
      <w:proofErr w:type="spellEnd"/>
      <w:r w:rsidRPr="0045543E">
        <w:t xml:space="preserve"> OR '</w:t>
      </w:r>
      <w:proofErr w:type="spellStart"/>
      <w:r w:rsidRPr="0045543E">
        <w:t>secukinumab</w:t>
      </w:r>
      <w:proofErr w:type="spellEnd"/>
      <w:r w:rsidRPr="0045543E">
        <w:t>'/</w:t>
      </w:r>
      <w:proofErr w:type="spellStart"/>
      <w:r w:rsidRPr="0045543E">
        <w:t>exp</w:t>
      </w:r>
      <w:proofErr w:type="spellEnd"/>
      <w:r w:rsidRPr="0045543E">
        <w:t xml:space="preserve"> OR </w:t>
      </w:r>
      <w:proofErr w:type="spellStart"/>
      <w:r w:rsidRPr="0045543E">
        <w:t>secukinumab:ab,ti</w:t>
      </w:r>
      <w:proofErr w:type="spellEnd"/>
      <w:r w:rsidRPr="0045543E">
        <w:t xml:space="preserve"> OR '</w:t>
      </w:r>
      <w:proofErr w:type="spellStart"/>
      <w:r w:rsidRPr="0045543E">
        <w:t>apremilast</w:t>
      </w:r>
      <w:proofErr w:type="spellEnd"/>
      <w:r w:rsidRPr="0045543E">
        <w:t>'/</w:t>
      </w:r>
      <w:proofErr w:type="spellStart"/>
      <w:r w:rsidRPr="0045543E">
        <w:t>exp</w:t>
      </w:r>
      <w:proofErr w:type="spellEnd"/>
      <w:r w:rsidRPr="0045543E">
        <w:t xml:space="preserve"> OR </w:t>
      </w:r>
      <w:proofErr w:type="spellStart"/>
      <w:r w:rsidRPr="0045543E">
        <w:t>apremilast:ab,ti</w:t>
      </w:r>
      <w:proofErr w:type="spellEnd"/>
      <w:r w:rsidRPr="0045543E">
        <w:t xml:space="preserve"> OR </w:t>
      </w:r>
      <w:proofErr w:type="spellStart"/>
      <w:r w:rsidRPr="0045543E">
        <w:t>cosentyx:ab,ti</w:t>
      </w:r>
      <w:proofErr w:type="spellEnd"/>
      <w:r w:rsidRPr="0045543E">
        <w:t xml:space="preserve">) </w:t>
      </w:r>
    </w:p>
    <w:p w14:paraId="1A9985BC" w14:textId="77777777" w:rsidR="00D25F60" w:rsidRPr="0045543E" w:rsidRDefault="00D25F60" w:rsidP="00D25F60">
      <w:r w:rsidRPr="0045543E">
        <w:t>AND</w:t>
      </w:r>
    </w:p>
    <w:p w14:paraId="0EAC2EFA" w14:textId="77777777" w:rsidR="00D25F60" w:rsidRPr="0045543E" w:rsidRDefault="00D25F60" w:rsidP="00D25F60">
      <w:r w:rsidRPr="0045543E">
        <w:t>(</w:t>
      </w:r>
      <w:proofErr w:type="spellStart"/>
      <w:r w:rsidRPr="0045543E">
        <w:t>BASDAI</w:t>
      </w:r>
      <w:proofErr w:type="gramStart"/>
      <w:r w:rsidRPr="0045543E">
        <w:t>:ab,ti</w:t>
      </w:r>
      <w:proofErr w:type="spellEnd"/>
      <w:proofErr w:type="gramEnd"/>
      <w:r w:rsidRPr="0045543E">
        <w:t xml:space="preserve"> OR “Bath </w:t>
      </w:r>
      <w:proofErr w:type="spellStart"/>
      <w:r w:rsidRPr="0045543E">
        <w:t>Ankylosing</w:t>
      </w:r>
      <w:proofErr w:type="spellEnd"/>
      <w:r w:rsidRPr="0045543E">
        <w:t xml:space="preserve"> Spondylitis Disease Activity Index”:</w:t>
      </w:r>
      <w:proofErr w:type="spellStart"/>
      <w:r w:rsidRPr="0045543E">
        <w:t>ab,ti</w:t>
      </w:r>
      <w:proofErr w:type="spellEnd"/>
      <w:r w:rsidRPr="0045543E">
        <w:t xml:space="preserve"> OR </w:t>
      </w:r>
      <w:proofErr w:type="spellStart"/>
      <w:r w:rsidRPr="0045543E">
        <w:t>BASFI:ab,ti</w:t>
      </w:r>
      <w:proofErr w:type="spellEnd"/>
      <w:r w:rsidRPr="0045543E">
        <w:t xml:space="preserve"> OR “Bath </w:t>
      </w:r>
      <w:proofErr w:type="spellStart"/>
      <w:r w:rsidRPr="0045543E">
        <w:t>Ankylosing</w:t>
      </w:r>
      <w:proofErr w:type="spellEnd"/>
      <w:r w:rsidRPr="0045543E">
        <w:t xml:space="preserve"> Spondylitis Functional Index”:</w:t>
      </w:r>
      <w:proofErr w:type="spellStart"/>
      <w:r w:rsidRPr="0045543E">
        <w:t>ab,ti</w:t>
      </w:r>
      <w:proofErr w:type="spellEnd"/>
      <w:r w:rsidRPr="0045543E">
        <w:t xml:space="preserve"> OR </w:t>
      </w:r>
      <w:proofErr w:type="spellStart"/>
      <w:r w:rsidRPr="0045543E">
        <w:t>BASMI:ab,ti</w:t>
      </w:r>
      <w:proofErr w:type="spellEnd"/>
      <w:r w:rsidRPr="0045543E">
        <w:t xml:space="preserve"> OR “bath </w:t>
      </w:r>
      <w:proofErr w:type="spellStart"/>
      <w:r w:rsidRPr="0045543E">
        <w:t>ankylosing</w:t>
      </w:r>
      <w:proofErr w:type="spellEnd"/>
      <w:r w:rsidRPr="0045543E">
        <w:t xml:space="preserve"> spondylitis metrology index”:</w:t>
      </w:r>
      <w:proofErr w:type="spellStart"/>
      <w:r w:rsidRPr="0045543E">
        <w:t>ab,ti</w:t>
      </w:r>
      <w:proofErr w:type="spellEnd"/>
      <w:r w:rsidRPr="0045543E">
        <w:t xml:space="preserve"> OR </w:t>
      </w:r>
      <w:proofErr w:type="spellStart"/>
      <w:r w:rsidRPr="0045543E">
        <w:t>ASDAS:ab,ti</w:t>
      </w:r>
      <w:proofErr w:type="spellEnd"/>
      <w:r w:rsidRPr="0045543E">
        <w:t xml:space="preserve"> OR “</w:t>
      </w:r>
      <w:proofErr w:type="spellStart"/>
      <w:r w:rsidRPr="0045543E">
        <w:t>Ankylosing</w:t>
      </w:r>
      <w:proofErr w:type="spellEnd"/>
      <w:r w:rsidRPr="0045543E">
        <w:t xml:space="preserve"> Spondylitis Disease Activity Score”:</w:t>
      </w:r>
      <w:proofErr w:type="spellStart"/>
      <w:r w:rsidRPr="0045543E">
        <w:t>ab,ti</w:t>
      </w:r>
      <w:proofErr w:type="spellEnd"/>
      <w:r w:rsidRPr="0045543E">
        <w:t xml:space="preserve"> OR ASAS*:</w:t>
      </w:r>
      <w:proofErr w:type="spellStart"/>
      <w:r w:rsidRPr="0045543E">
        <w:t>ab,ti</w:t>
      </w:r>
      <w:proofErr w:type="spellEnd"/>
      <w:r w:rsidRPr="0045543E">
        <w:t xml:space="preserve"> OR “ASAS partial remission”:</w:t>
      </w:r>
      <w:proofErr w:type="spellStart"/>
      <w:r w:rsidRPr="0045543E">
        <w:t>ab,ti</w:t>
      </w:r>
      <w:proofErr w:type="spellEnd"/>
      <w:r w:rsidRPr="0045543E">
        <w:t xml:space="preserve"> OR "modified Stoke </w:t>
      </w:r>
      <w:proofErr w:type="spellStart"/>
      <w:r w:rsidRPr="0045543E">
        <w:t>Ankylosing</w:t>
      </w:r>
      <w:proofErr w:type="spellEnd"/>
      <w:r w:rsidRPr="0045543E">
        <w:t xml:space="preserve"> Spondylitis Spine Score":</w:t>
      </w:r>
      <w:proofErr w:type="spellStart"/>
      <w:r w:rsidRPr="0045543E">
        <w:t>ab,ti</w:t>
      </w:r>
      <w:proofErr w:type="spellEnd"/>
      <w:r w:rsidRPr="0045543E">
        <w:t xml:space="preserve"> OR "</w:t>
      </w:r>
      <w:proofErr w:type="spellStart"/>
      <w:r w:rsidRPr="0045543E">
        <w:t>mSASSS</w:t>
      </w:r>
      <w:proofErr w:type="spellEnd"/>
      <w:r w:rsidRPr="0045543E">
        <w:t>":</w:t>
      </w:r>
      <w:proofErr w:type="spellStart"/>
      <w:r w:rsidRPr="0045543E">
        <w:t>ab,ti</w:t>
      </w:r>
      <w:proofErr w:type="spellEnd"/>
      <w:r w:rsidRPr="0045543E">
        <w:t xml:space="preserve"> OR “Modified Stoke </w:t>
      </w:r>
      <w:proofErr w:type="spellStart"/>
      <w:r w:rsidRPr="0045543E">
        <w:t>Ankylosing</w:t>
      </w:r>
      <w:proofErr w:type="spellEnd"/>
      <w:r w:rsidRPr="0045543E">
        <w:t xml:space="preserve"> Spondylitis Spinal Score”:</w:t>
      </w:r>
      <w:proofErr w:type="spellStart"/>
      <w:r w:rsidRPr="0045543E">
        <w:t>ab,ti</w:t>
      </w:r>
      <w:proofErr w:type="spellEnd"/>
      <w:r w:rsidRPr="0045543E">
        <w:t>)</w:t>
      </w:r>
    </w:p>
    <w:p w14:paraId="7E92F0B4" w14:textId="77777777" w:rsidR="00D25F60" w:rsidRPr="0045543E" w:rsidRDefault="00D25F60" w:rsidP="00D25F60">
      <w:r w:rsidRPr="0045543E">
        <w:t>NOT ('animals'/</w:t>
      </w:r>
      <w:proofErr w:type="spellStart"/>
      <w:r w:rsidRPr="0045543E">
        <w:t>exp</w:t>
      </w:r>
      <w:proofErr w:type="spellEnd"/>
      <w:r w:rsidRPr="0045543E">
        <w:t xml:space="preserve"> NOT ('animals'/</w:t>
      </w:r>
      <w:proofErr w:type="spellStart"/>
      <w:r w:rsidRPr="0045543E">
        <w:t>exp</w:t>
      </w:r>
      <w:proofErr w:type="spellEnd"/>
      <w:r w:rsidRPr="0045543E">
        <w:t xml:space="preserve"> AND 'humans'/</w:t>
      </w:r>
      <w:proofErr w:type="spellStart"/>
      <w:r w:rsidRPr="0045543E">
        <w:t>exp</w:t>
      </w:r>
      <w:proofErr w:type="spellEnd"/>
      <w:r w:rsidRPr="0045543E">
        <w:t>)) AND [</w:t>
      </w:r>
      <w:proofErr w:type="spellStart"/>
      <w:r w:rsidRPr="0045543E">
        <w:t>embase</w:t>
      </w:r>
      <w:proofErr w:type="spellEnd"/>
      <w:r w:rsidRPr="0045543E">
        <w:t>]/</w:t>
      </w:r>
      <w:proofErr w:type="spellStart"/>
      <w:r w:rsidRPr="0045543E">
        <w:t>lim</w:t>
      </w:r>
      <w:proofErr w:type="spellEnd"/>
      <w:r w:rsidRPr="0045543E">
        <w:t xml:space="preserve"> NOT [</w:t>
      </w:r>
      <w:proofErr w:type="spellStart"/>
      <w:r w:rsidRPr="0045543E">
        <w:t>medline</w:t>
      </w:r>
      <w:proofErr w:type="spellEnd"/>
      <w:r w:rsidRPr="0045543E">
        <w:t>]/</w:t>
      </w:r>
      <w:proofErr w:type="spellStart"/>
      <w:r w:rsidRPr="0045543E">
        <w:t>lim</w:t>
      </w:r>
      <w:proofErr w:type="spellEnd"/>
      <w:r w:rsidRPr="0045543E">
        <w:t xml:space="preserve"> AND ([</w:t>
      </w:r>
      <w:proofErr w:type="spellStart"/>
      <w:r w:rsidRPr="0045543E">
        <w:t>english</w:t>
      </w:r>
      <w:proofErr w:type="spellEnd"/>
      <w:r w:rsidRPr="0045543E">
        <w:t>]/</w:t>
      </w:r>
      <w:proofErr w:type="spellStart"/>
      <w:r w:rsidRPr="0045543E">
        <w:t>lim</w:t>
      </w:r>
      <w:proofErr w:type="spellEnd"/>
      <w:r w:rsidRPr="0045543E">
        <w:t xml:space="preserve"> OR </w:t>
      </w:r>
      <w:r>
        <w:fldChar w:fldCharType="begin">
          <w:fldData xml:space="preserve">PEVuZE5vdGU+PENpdGUgRXhjbHVkZVllYXI9IjEiPjxBdXRob3I+S3J6eXNpZWs8L0F1dGhvcj48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==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PEVuZE5vdGU+PENpdGUgRXhjbHVkZVllYXI9IjEiPjxBdXRob3I+S3J6eXNpZWs8L0F1dGhvcj48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==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25" w:tooltip="Krzysiek, 2009 #14" w:history="1">
        <w:r>
          <w:rPr>
            <w:noProof/>
          </w:rPr>
          <w:t>25</w:t>
        </w:r>
      </w:hyperlink>
      <w:r>
        <w:rPr>
          <w:noProof/>
        </w:rPr>
        <w:t>]</w:t>
      </w:r>
      <w:r>
        <w:fldChar w:fldCharType="end"/>
      </w:r>
      <w:r w:rsidRPr="0045543E">
        <w:t>/</w:t>
      </w:r>
      <w:proofErr w:type="spellStart"/>
      <w:r w:rsidRPr="0045543E">
        <w:t>lim</w:t>
      </w:r>
      <w:proofErr w:type="spellEnd"/>
      <w:r w:rsidRPr="0045543E">
        <w:t xml:space="preserve"> OR </w:t>
      </w:r>
      <w:r>
        <w:fldChar w:fldCharType="begin">
          <w:fldData xml:space="preserve">PEVuZE5vdGU+PENpdGUgRXhjbHVkZVllYXI9IjEiPjxBdXRob3I+Q29sbGFudGVzLUVzdGV2ZXo8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</w:fldData>
        </w:fldChar>
      </w:r>
      <w:r>
        <w:instrText xml:space="preserve"> ADDIN EN.CITE </w:instrText>
      </w:r>
      <w:r>
        <w:fldChar w:fldCharType="begin">
          <w:fldData xml:space="preserve">PEVuZE5vdGU+PENpdGUgRXhjbHVkZVllYXI9IjEiPjxBdXRob3I+Q29sbGFudGVzLUVzdGV2ZXo8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26" w:tooltip="Collantes-Estevez, 2005 #7" w:history="1">
        <w:r>
          <w:rPr>
            <w:noProof/>
          </w:rPr>
          <w:t>26</w:t>
        </w:r>
      </w:hyperlink>
      <w:r>
        <w:rPr>
          <w:noProof/>
        </w:rPr>
        <w:t>]</w:t>
      </w:r>
      <w:r>
        <w:fldChar w:fldCharType="end"/>
      </w:r>
      <w:r w:rsidRPr="0045543E">
        <w:t>/</w:t>
      </w:r>
      <w:proofErr w:type="spellStart"/>
      <w:r w:rsidRPr="0045543E">
        <w:t>lim</w:t>
      </w:r>
      <w:proofErr w:type="spellEnd"/>
      <w:r w:rsidRPr="0045543E">
        <w:t>) AND [2008-2016]/</w:t>
      </w:r>
      <w:proofErr w:type="spellStart"/>
      <w:r w:rsidRPr="0045543E">
        <w:t>py</w:t>
      </w:r>
      <w:proofErr w:type="spellEnd"/>
      <w:r w:rsidRPr="0045543E">
        <w:t xml:space="preserve"> </w:t>
      </w:r>
    </w:p>
    <w:p w14:paraId="662918F5" w14:textId="77777777" w:rsidR="00D25F60" w:rsidRPr="0045543E" w:rsidRDefault="00D25F60" w:rsidP="00D25F60">
      <w:pPr>
        <w:rPr>
          <w:u w:val="single"/>
        </w:rPr>
      </w:pPr>
    </w:p>
    <w:p w14:paraId="51AF5AAD" w14:textId="77777777" w:rsidR="00D25F60" w:rsidRPr="0045543E" w:rsidRDefault="00D25F60" w:rsidP="00D25F60">
      <w:pPr>
        <w:rPr>
          <w:u w:val="single"/>
        </w:rPr>
      </w:pPr>
      <w:r w:rsidRPr="0045543E">
        <w:rPr>
          <w:u w:val="single"/>
        </w:rPr>
        <w:t xml:space="preserve">Cochrane </w:t>
      </w:r>
    </w:p>
    <w:p w14:paraId="4F36795C" w14:textId="77777777" w:rsidR="00D25F60" w:rsidRPr="0045543E" w:rsidRDefault="00D25F60" w:rsidP="00D25F60">
      <w:r w:rsidRPr="0045543E">
        <w:t>ID</w:t>
      </w:r>
      <w:r w:rsidRPr="0045543E">
        <w:tab/>
        <w:t>Search</w:t>
      </w:r>
      <w:r w:rsidRPr="0045543E">
        <w:tab/>
        <w:t>Hits</w:t>
      </w:r>
    </w:p>
    <w:p w14:paraId="77DAA871" w14:textId="77777777" w:rsidR="00D25F60" w:rsidRPr="0045543E" w:rsidRDefault="00D25F60" w:rsidP="00D25F60">
      <w:r w:rsidRPr="0045543E">
        <w:t>#1</w:t>
      </w:r>
      <w:r w:rsidRPr="0045543E">
        <w:tab/>
      </w:r>
      <w:proofErr w:type="spellStart"/>
      <w:r w:rsidRPr="0045543E">
        <w:t>MeSH</w:t>
      </w:r>
      <w:proofErr w:type="spellEnd"/>
      <w:r w:rsidRPr="0045543E">
        <w:t xml:space="preserve"> descriptor: [Spondylitis, </w:t>
      </w:r>
      <w:proofErr w:type="spellStart"/>
      <w:r w:rsidRPr="0045543E">
        <w:t>Ankylosing</w:t>
      </w:r>
      <w:proofErr w:type="spellEnd"/>
      <w:r w:rsidRPr="0045543E">
        <w:t>] explode all tree</w:t>
      </w:r>
      <w:r>
        <w:t>s</w:t>
      </w:r>
      <w:r>
        <w:tab/>
      </w:r>
    </w:p>
    <w:p w14:paraId="1A7CF814" w14:textId="77777777" w:rsidR="00D25F60" w:rsidRPr="0045543E" w:rsidRDefault="00D25F60" w:rsidP="00D25F60">
      <w:r w:rsidRPr="0045543E">
        <w:t>#2</w:t>
      </w:r>
      <w:r w:rsidRPr="0045543E">
        <w:tab/>
        <w:t xml:space="preserve">("Spondylitis </w:t>
      </w:r>
      <w:proofErr w:type="spellStart"/>
      <w:r w:rsidRPr="0045543E">
        <w:t>Ankylosing</w:t>
      </w:r>
      <w:proofErr w:type="spellEnd"/>
      <w:r w:rsidRPr="0045543E">
        <w:t>" or "</w:t>
      </w:r>
      <w:proofErr w:type="spellStart"/>
      <w:r w:rsidRPr="0045543E">
        <w:t>Ankylosing</w:t>
      </w:r>
      <w:proofErr w:type="spellEnd"/>
      <w:r w:rsidRPr="0045543E">
        <w:t xml:space="preserve"> Spondylitis" or "axial </w:t>
      </w:r>
      <w:proofErr w:type="spellStart"/>
      <w:r w:rsidRPr="0045543E">
        <w:t>SpA</w:t>
      </w:r>
      <w:proofErr w:type="spellEnd"/>
      <w:r w:rsidRPr="0045543E">
        <w:t xml:space="preserve">" or "axial </w:t>
      </w:r>
      <w:proofErr w:type="spellStart"/>
      <w:r w:rsidRPr="0045543E">
        <w:t>spondyloarthritis</w:t>
      </w:r>
      <w:proofErr w:type="spellEnd"/>
      <w:r w:rsidRPr="0045543E">
        <w:t xml:space="preserve">" or "non-radiographic axial </w:t>
      </w:r>
      <w:proofErr w:type="spellStart"/>
      <w:r w:rsidRPr="0045543E">
        <w:t>spondyloarth</w:t>
      </w:r>
      <w:r>
        <w:t>ritis</w:t>
      </w:r>
      <w:proofErr w:type="spellEnd"/>
      <w:r>
        <w:t>" or "nr-</w:t>
      </w:r>
      <w:proofErr w:type="spellStart"/>
      <w:r>
        <w:t>axSpA</w:t>
      </w:r>
      <w:proofErr w:type="spellEnd"/>
      <w:r>
        <w:t>")</w:t>
      </w:r>
      <w:proofErr w:type="gramStart"/>
      <w:r>
        <w:t>:</w:t>
      </w:r>
      <w:proofErr w:type="spellStart"/>
      <w:r>
        <w:t>ab,ti</w:t>
      </w:r>
      <w:proofErr w:type="spellEnd"/>
      <w:proofErr w:type="gramEnd"/>
      <w:r>
        <w:t xml:space="preserve"> </w:t>
      </w:r>
      <w:r>
        <w:tab/>
      </w:r>
    </w:p>
    <w:p w14:paraId="4745E903" w14:textId="77777777" w:rsidR="00D25F60" w:rsidRPr="0045543E" w:rsidRDefault="00D25F60" w:rsidP="00D25F60">
      <w:r w:rsidRPr="0045543E">
        <w:t>#3</w:t>
      </w:r>
      <w:r w:rsidRPr="0045543E">
        <w:tab/>
        <w:t>("axia</w:t>
      </w:r>
      <w:r>
        <w:t>l" near/4 "</w:t>
      </w:r>
      <w:proofErr w:type="spellStart"/>
      <w:r>
        <w:t>spondyl</w:t>
      </w:r>
      <w:proofErr w:type="spellEnd"/>
      <w:r>
        <w:t>*")</w:t>
      </w:r>
      <w:proofErr w:type="gramStart"/>
      <w:r>
        <w:t>:</w:t>
      </w:r>
      <w:proofErr w:type="spellStart"/>
      <w:r>
        <w:t>ab,ti</w:t>
      </w:r>
      <w:proofErr w:type="spellEnd"/>
      <w:proofErr w:type="gramEnd"/>
      <w:r>
        <w:t xml:space="preserve"> </w:t>
      </w:r>
      <w:r>
        <w:tab/>
      </w:r>
    </w:p>
    <w:p w14:paraId="6008F872" w14:textId="77777777" w:rsidR="00D25F60" w:rsidRPr="0045543E" w:rsidRDefault="00D25F60" w:rsidP="00D25F60">
      <w:r w:rsidRPr="0045543E">
        <w:t>#4</w:t>
      </w:r>
      <w:r w:rsidRPr="0045543E">
        <w:tab/>
        <w:t>("</w:t>
      </w:r>
      <w:proofErr w:type="spellStart"/>
      <w:r w:rsidRPr="0045543E">
        <w:t>Spond</w:t>
      </w:r>
      <w:proofErr w:type="spellEnd"/>
      <w:r w:rsidRPr="0045543E">
        <w:t>*" near/4 (</w:t>
      </w:r>
      <w:proofErr w:type="spellStart"/>
      <w:r w:rsidRPr="0045543E">
        <w:t>ankylo</w:t>
      </w:r>
      <w:proofErr w:type="spellEnd"/>
      <w:r w:rsidRPr="0045543E">
        <w:t xml:space="preserve">* or </w:t>
      </w:r>
      <w:proofErr w:type="spellStart"/>
      <w:r w:rsidRPr="0045543E">
        <w:t>rhe</w:t>
      </w:r>
      <w:r>
        <w:t>umat</w:t>
      </w:r>
      <w:proofErr w:type="spellEnd"/>
      <w:r>
        <w:t>*))</w:t>
      </w:r>
      <w:proofErr w:type="gramStart"/>
      <w:r>
        <w:t>:</w:t>
      </w:r>
      <w:proofErr w:type="spellStart"/>
      <w:r>
        <w:t>ab,ti</w:t>
      </w:r>
      <w:proofErr w:type="spellEnd"/>
      <w:proofErr w:type="gramEnd"/>
      <w:r>
        <w:t xml:space="preserve"> </w:t>
      </w:r>
      <w:r>
        <w:tab/>
      </w:r>
    </w:p>
    <w:p w14:paraId="53301DE1" w14:textId="77777777" w:rsidR="00D25F60" w:rsidRPr="0045543E" w:rsidRDefault="00D25F60" w:rsidP="00D25F60">
      <w:r>
        <w:t>#5</w:t>
      </w:r>
      <w:r>
        <w:tab/>
        <w:t xml:space="preserve">#1 or #2 or #3 or #4 </w:t>
      </w:r>
      <w:r>
        <w:tab/>
      </w:r>
    </w:p>
    <w:p w14:paraId="77F7333A" w14:textId="77777777" w:rsidR="00D25F60" w:rsidRPr="0045543E" w:rsidRDefault="00D25F60" w:rsidP="00D25F60">
      <w:r w:rsidRPr="0045543E">
        <w:t>#6</w:t>
      </w:r>
      <w:r w:rsidRPr="0045543E">
        <w:tab/>
        <w:t>("</w:t>
      </w:r>
      <w:proofErr w:type="spellStart"/>
      <w:r w:rsidRPr="0045543E">
        <w:t>Tumor</w:t>
      </w:r>
      <w:proofErr w:type="spellEnd"/>
      <w:r w:rsidRPr="0045543E">
        <w:t xml:space="preserve"> Necrosis Factor-alpha" or "anti-</w:t>
      </w:r>
      <w:proofErr w:type="spellStart"/>
      <w:r w:rsidRPr="0045543E">
        <w:t>tumor</w:t>
      </w:r>
      <w:proofErr w:type="spellEnd"/>
      <w:r w:rsidRPr="0045543E">
        <w:t xml:space="preserve"> necrosis factor agent" or "anti-TNF" or infliximab or </w:t>
      </w:r>
      <w:proofErr w:type="spellStart"/>
      <w:r w:rsidRPr="0045543E">
        <w:t>remicade</w:t>
      </w:r>
      <w:proofErr w:type="spellEnd"/>
      <w:r w:rsidRPr="0045543E">
        <w:t xml:space="preserve"> or </w:t>
      </w:r>
      <w:proofErr w:type="spellStart"/>
      <w:r w:rsidRPr="0045543E">
        <w:t>Inflectra</w:t>
      </w:r>
      <w:proofErr w:type="spellEnd"/>
      <w:r w:rsidRPr="0045543E">
        <w:t xml:space="preserve"> or "CT-P13" or </w:t>
      </w:r>
      <w:proofErr w:type="spellStart"/>
      <w:r w:rsidRPr="0045543E">
        <w:t>remsima</w:t>
      </w:r>
      <w:proofErr w:type="spellEnd"/>
      <w:r w:rsidRPr="0045543E">
        <w:t xml:space="preserve"> or </w:t>
      </w:r>
      <w:proofErr w:type="spellStart"/>
      <w:r w:rsidRPr="0045543E">
        <w:t>etanercept</w:t>
      </w:r>
      <w:proofErr w:type="spellEnd"/>
      <w:r w:rsidRPr="0045543E">
        <w:t xml:space="preserve"> or </w:t>
      </w:r>
      <w:proofErr w:type="spellStart"/>
      <w:r w:rsidRPr="0045543E">
        <w:t>enbrel</w:t>
      </w:r>
      <w:proofErr w:type="spellEnd"/>
      <w:r w:rsidRPr="0045543E">
        <w:t xml:space="preserve"> or </w:t>
      </w:r>
      <w:proofErr w:type="spellStart"/>
      <w:r w:rsidRPr="0045543E">
        <w:t>adalimumab</w:t>
      </w:r>
      <w:proofErr w:type="spellEnd"/>
      <w:r w:rsidRPr="0045543E">
        <w:t xml:space="preserve"> or </w:t>
      </w:r>
      <w:proofErr w:type="spellStart"/>
      <w:r w:rsidRPr="0045543E">
        <w:t>humira</w:t>
      </w:r>
      <w:proofErr w:type="spellEnd"/>
      <w:r w:rsidRPr="0045543E">
        <w:t xml:space="preserve"> or </w:t>
      </w:r>
      <w:proofErr w:type="spellStart"/>
      <w:r w:rsidRPr="0045543E">
        <w:t>golimumab</w:t>
      </w:r>
      <w:proofErr w:type="spellEnd"/>
      <w:r w:rsidRPr="0045543E">
        <w:t xml:space="preserve"> or </w:t>
      </w:r>
      <w:proofErr w:type="spellStart"/>
      <w:r w:rsidRPr="0045543E">
        <w:t>Simponi</w:t>
      </w:r>
      <w:proofErr w:type="spellEnd"/>
      <w:r w:rsidRPr="0045543E">
        <w:t xml:space="preserve"> or </w:t>
      </w:r>
      <w:proofErr w:type="spellStart"/>
      <w:r w:rsidRPr="0045543E">
        <w:t>certolizumab</w:t>
      </w:r>
      <w:proofErr w:type="spellEnd"/>
      <w:r w:rsidRPr="0045543E">
        <w:t xml:space="preserve"> or </w:t>
      </w:r>
      <w:proofErr w:type="spellStart"/>
      <w:r w:rsidRPr="0045543E">
        <w:t>cimzia</w:t>
      </w:r>
      <w:proofErr w:type="spellEnd"/>
      <w:r w:rsidRPr="0045543E">
        <w:t xml:space="preserve"> or </w:t>
      </w:r>
      <w:proofErr w:type="spellStart"/>
      <w:r w:rsidRPr="0045543E">
        <w:t>ustekinumab</w:t>
      </w:r>
      <w:proofErr w:type="spellEnd"/>
      <w:r w:rsidRPr="0045543E">
        <w:t xml:space="preserve"> or </w:t>
      </w:r>
      <w:proofErr w:type="spellStart"/>
      <w:r w:rsidRPr="0045543E">
        <w:t>stelara</w:t>
      </w:r>
      <w:proofErr w:type="spellEnd"/>
      <w:r w:rsidRPr="0045543E">
        <w:t xml:space="preserve"> or </w:t>
      </w:r>
      <w:proofErr w:type="spellStart"/>
      <w:r w:rsidRPr="0045543E">
        <w:t>secukinumab</w:t>
      </w:r>
      <w:proofErr w:type="spellEnd"/>
      <w:r w:rsidRPr="0045543E">
        <w:t xml:space="preserve"> or </w:t>
      </w:r>
      <w:proofErr w:type="spellStart"/>
      <w:r w:rsidRPr="0045543E">
        <w:t>cos</w:t>
      </w:r>
      <w:r>
        <w:t>entyx</w:t>
      </w:r>
      <w:proofErr w:type="spellEnd"/>
      <w:r>
        <w:t xml:space="preserve"> or </w:t>
      </w:r>
      <w:proofErr w:type="spellStart"/>
      <w:r>
        <w:t>apremilast</w:t>
      </w:r>
      <w:proofErr w:type="spellEnd"/>
      <w:r>
        <w:t>)</w:t>
      </w:r>
      <w:proofErr w:type="gramStart"/>
      <w:r>
        <w:t>:</w:t>
      </w:r>
      <w:proofErr w:type="spellStart"/>
      <w:r>
        <w:t>ab,ti</w:t>
      </w:r>
      <w:proofErr w:type="spellEnd"/>
      <w:proofErr w:type="gramEnd"/>
      <w:r>
        <w:t xml:space="preserve"> </w:t>
      </w:r>
      <w:r>
        <w:tab/>
      </w:r>
    </w:p>
    <w:p w14:paraId="617526E3" w14:textId="77777777" w:rsidR="00D25F60" w:rsidRPr="0045543E" w:rsidRDefault="00D25F60" w:rsidP="00D25F60">
      <w:r w:rsidRPr="0045543E">
        <w:t>#7</w:t>
      </w:r>
      <w:r w:rsidRPr="0045543E">
        <w:tab/>
      </w:r>
      <w:proofErr w:type="spellStart"/>
      <w:r w:rsidRPr="0045543E">
        <w:t>MeSH</w:t>
      </w:r>
      <w:proofErr w:type="spellEnd"/>
      <w:r w:rsidRPr="0045543E">
        <w:t xml:space="preserve"> descriptor: [</w:t>
      </w:r>
      <w:proofErr w:type="spellStart"/>
      <w:r w:rsidRPr="0045543E">
        <w:t>Tumor</w:t>
      </w:r>
      <w:proofErr w:type="spellEnd"/>
      <w:r w:rsidRPr="0045543E">
        <w:t xml:space="preserve"> Necrosis Factor-alpha] explode all trees and with qualifier(s): [An</w:t>
      </w:r>
      <w:r>
        <w:t>tagonists &amp; inhibitors - AI]</w:t>
      </w:r>
      <w:r>
        <w:tab/>
      </w:r>
    </w:p>
    <w:p w14:paraId="6661C52E" w14:textId="77777777" w:rsidR="00D25F60" w:rsidRPr="0045543E" w:rsidRDefault="00D25F60" w:rsidP="00D25F60">
      <w:r w:rsidRPr="0045543E">
        <w:t>#8</w:t>
      </w:r>
      <w:r w:rsidRPr="0045543E">
        <w:tab/>
        <w:t>#6 or #7</w:t>
      </w:r>
      <w:r>
        <w:t xml:space="preserve"> </w:t>
      </w:r>
      <w:r>
        <w:tab/>
      </w:r>
    </w:p>
    <w:p w14:paraId="4FD65312" w14:textId="77777777" w:rsidR="00D25F60" w:rsidRPr="0045543E" w:rsidRDefault="00D25F60" w:rsidP="00D25F60">
      <w:r>
        <w:t>#9</w:t>
      </w:r>
      <w:r>
        <w:tab/>
        <w:t xml:space="preserve">#5 and #8 </w:t>
      </w:r>
      <w:r>
        <w:tab/>
      </w:r>
    </w:p>
    <w:p w14:paraId="6C3DBFD0" w14:textId="77777777" w:rsidR="00D25F60" w:rsidRPr="0045543E" w:rsidRDefault="00D25F60" w:rsidP="00D25F60">
      <w:r w:rsidRPr="0045543E">
        <w:t>#10</w:t>
      </w:r>
      <w:r w:rsidRPr="0045543E">
        <w:tab/>
        <w:t xml:space="preserve">(BASDAI or "Bath </w:t>
      </w:r>
      <w:proofErr w:type="spellStart"/>
      <w:r w:rsidRPr="0045543E">
        <w:t>Ankylosing</w:t>
      </w:r>
      <w:proofErr w:type="spellEnd"/>
      <w:r w:rsidRPr="0045543E">
        <w:t xml:space="preserve"> Spondylitis Disease Activity Index" or BASFI or "Bath </w:t>
      </w:r>
      <w:proofErr w:type="spellStart"/>
      <w:r w:rsidRPr="0045543E">
        <w:t>Ankylosing</w:t>
      </w:r>
      <w:proofErr w:type="spellEnd"/>
      <w:r w:rsidRPr="0045543E">
        <w:t xml:space="preserve"> Spondylitis Functional Index" or BASMI or "bath </w:t>
      </w:r>
      <w:proofErr w:type="spellStart"/>
      <w:r w:rsidRPr="0045543E">
        <w:t>ankylosing</w:t>
      </w:r>
      <w:proofErr w:type="spellEnd"/>
      <w:r w:rsidRPr="0045543E">
        <w:t xml:space="preserve"> spondylitis metrology index" or ASDAS or "</w:t>
      </w:r>
      <w:proofErr w:type="spellStart"/>
      <w:r w:rsidRPr="0045543E">
        <w:t>Ankylosing</w:t>
      </w:r>
      <w:proofErr w:type="spellEnd"/>
      <w:r w:rsidRPr="0045543E">
        <w:t xml:space="preserve"> Spondylitis Disease Activity Score" or ASAS* or "ASAS partial remission" or "modified Stoke </w:t>
      </w:r>
      <w:proofErr w:type="spellStart"/>
      <w:r w:rsidRPr="0045543E">
        <w:t>Ankylosing</w:t>
      </w:r>
      <w:proofErr w:type="spellEnd"/>
      <w:r w:rsidRPr="0045543E">
        <w:t xml:space="preserve"> Spondylitis Spine Score" or "</w:t>
      </w:r>
      <w:proofErr w:type="spellStart"/>
      <w:r w:rsidRPr="0045543E">
        <w:t>mSASSS</w:t>
      </w:r>
      <w:proofErr w:type="spellEnd"/>
      <w:r w:rsidRPr="0045543E">
        <w:t xml:space="preserve">" or "Modified Stoke </w:t>
      </w:r>
      <w:proofErr w:type="spellStart"/>
      <w:r w:rsidRPr="0045543E">
        <w:t>Ankylosing</w:t>
      </w:r>
      <w:proofErr w:type="spellEnd"/>
      <w:r w:rsidRPr="0045543E">
        <w:t xml:space="preserve"> Spond</w:t>
      </w:r>
      <w:r>
        <w:t>ylitis Spinal Score")</w:t>
      </w:r>
      <w:proofErr w:type="gramStart"/>
      <w:r>
        <w:t>:</w:t>
      </w:r>
      <w:proofErr w:type="spellStart"/>
      <w:r>
        <w:t>ab,ti</w:t>
      </w:r>
      <w:proofErr w:type="spellEnd"/>
      <w:proofErr w:type="gramEnd"/>
      <w:r>
        <w:t xml:space="preserve"> </w:t>
      </w:r>
      <w:r>
        <w:tab/>
      </w:r>
    </w:p>
    <w:p w14:paraId="17F48C72" w14:textId="77777777" w:rsidR="00D25F60" w:rsidRPr="0045543E" w:rsidRDefault="00D25F60" w:rsidP="00D25F60">
      <w:r w:rsidRPr="0045543E">
        <w:t>#11</w:t>
      </w:r>
      <w:r w:rsidRPr="0045543E">
        <w:tab/>
        <w:t>#9 and #10 Public</w:t>
      </w:r>
      <w:r>
        <w:t>ation Year from 2008 to 2016</w:t>
      </w:r>
      <w:r>
        <w:tab/>
      </w:r>
    </w:p>
    <w:p w14:paraId="1BBCAAE3" w14:textId="77777777" w:rsidR="00D25F60" w:rsidRPr="003530C2" w:rsidRDefault="00D25F60" w:rsidP="00D25F60">
      <w:pPr>
        <w:autoSpaceDE w:val="0"/>
        <w:jc w:val="both"/>
        <w:rPr>
          <w:sz w:val="20"/>
          <w:szCs w:val="16"/>
        </w:rPr>
      </w:pPr>
      <w:r>
        <w:rPr>
          <w:b/>
          <w:szCs w:val="20"/>
        </w:rPr>
        <w:t>Table S2</w:t>
      </w:r>
      <w:r w:rsidRPr="000E771F">
        <w:rPr>
          <w:b/>
          <w:szCs w:val="20"/>
        </w:rPr>
        <w:t>: Exclusion criteria for full-text reviewed articles</w:t>
      </w:r>
    </w:p>
    <w:p w14:paraId="2FF48628" w14:textId="77777777" w:rsidR="00D25F60" w:rsidRDefault="00D25F60" w:rsidP="00D25F60">
      <w:pPr>
        <w:pBdr>
          <w:between w:val="single" w:sz="18" w:space="1" w:color="FFFFFF"/>
        </w:pBdr>
        <w:rPr>
          <w:sz w:val="20"/>
          <w:szCs w:val="20"/>
        </w:rPr>
      </w:pPr>
    </w:p>
    <w:tbl>
      <w:tblPr>
        <w:tblW w:w="9028" w:type="dxa"/>
        <w:tblInd w:w="108" w:type="dxa"/>
        <w:tblBorders>
          <w:top w:val="single" w:sz="18" w:space="0" w:color="FFFFFF"/>
          <w:bottom w:val="single" w:sz="18" w:space="0" w:color="FFFFFF"/>
        </w:tblBorders>
        <w:tblLook w:val="04A0" w:firstRow="1" w:lastRow="0" w:firstColumn="1" w:lastColumn="0" w:noHBand="0" w:noVBand="1"/>
      </w:tblPr>
      <w:tblGrid>
        <w:gridCol w:w="4208"/>
        <w:gridCol w:w="4820"/>
      </w:tblGrid>
      <w:tr w:rsidR="00D25F60" w:rsidRPr="00504ADD" w14:paraId="2C71F65C" w14:textId="77777777" w:rsidTr="002076DF">
        <w:tc>
          <w:tcPr>
            <w:tcW w:w="4208" w:type="dxa"/>
            <w:shd w:val="clear" w:color="auto" w:fill="auto"/>
          </w:tcPr>
          <w:p w14:paraId="52CB6F24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Reference</w:t>
            </w:r>
          </w:p>
        </w:tc>
        <w:tc>
          <w:tcPr>
            <w:tcW w:w="4820" w:type="dxa"/>
            <w:shd w:val="clear" w:color="auto" w:fill="auto"/>
          </w:tcPr>
          <w:p w14:paraId="6173A446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Exclusion criteria </w:t>
            </w:r>
          </w:p>
        </w:tc>
      </w:tr>
      <w:tr w:rsidR="00D25F60" w:rsidRPr="00504ADD" w14:paraId="423219F5" w14:textId="77777777" w:rsidTr="002076DF">
        <w:tc>
          <w:tcPr>
            <w:tcW w:w="4208" w:type="dxa"/>
            <w:shd w:val="clear" w:color="auto" w:fill="auto"/>
          </w:tcPr>
          <w:p w14:paraId="2B04F49A" w14:textId="7F75AECB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Baeten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2013</w:t>
            </w:r>
            <w:r w:rsidR="002076DF">
              <w:rPr>
                <w:rFonts w:eastAsia="Times New Roman"/>
                <w:szCs w:val="20"/>
              </w:rPr>
              <w:t>, [1]</w:t>
            </w:r>
            <w:r w:rsidR="002076D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8286EDD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70F328D7" w14:textId="77777777" w:rsidTr="002076DF">
        <w:tc>
          <w:tcPr>
            <w:tcW w:w="4208" w:type="dxa"/>
            <w:shd w:val="clear" w:color="auto" w:fill="auto"/>
          </w:tcPr>
          <w:p w14:paraId="171AA7A5" w14:textId="3052FE96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Baeten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2015</w:t>
            </w:r>
            <w:r w:rsidR="002076DF">
              <w:rPr>
                <w:rFonts w:eastAsia="Times New Roman"/>
                <w:szCs w:val="20"/>
              </w:rPr>
              <w:t>, [2]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749E1E09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Insufficient data</w:t>
            </w:r>
          </w:p>
        </w:tc>
      </w:tr>
      <w:tr w:rsidR="00D25F60" w:rsidRPr="00504ADD" w14:paraId="1B81AD7E" w14:textId="77777777" w:rsidTr="002076DF">
        <w:tc>
          <w:tcPr>
            <w:tcW w:w="4208" w:type="dxa"/>
            <w:shd w:val="clear" w:color="auto" w:fill="auto"/>
          </w:tcPr>
          <w:p w14:paraId="3B72BDC3" w14:textId="6D250B69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Baraliakos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2016</w:t>
            </w:r>
            <w:r w:rsidR="002076DF">
              <w:rPr>
                <w:rFonts w:eastAsia="Times New Roman"/>
                <w:szCs w:val="20"/>
              </w:rPr>
              <w:t>, [3]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BE6ACD8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598FF6B1" w14:textId="77777777" w:rsidTr="002076DF">
        <w:tc>
          <w:tcPr>
            <w:tcW w:w="4208" w:type="dxa"/>
            <w:shd w:val="clear" w:color="auto" w:fill="auto"/>
          </w:tcPr>
          <w:p w14:paraId="58E97823" w14:textId="78BE160B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Braun et al, 2012</w:t>
            </w:r>
            <w:r w:rsidR="002076DF">
              <w:rPr>
                <w:rFonts w:eastAsia="Times New Roman"/>
                <w:szCs w:val="20"/>
              </w:rPr>
              <w:t>, [4]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0FB2CDDB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1EA885E9" w14:textId="77777777" w:rsidTr="002076DF">
        <w:tc>
          <w:tcPr>
            <w:tcW w:w="4208" w:type="dxa"/>
            <w:shd w:val="clear" w:color="auto" w:fill="auto"/>
          </w:tcPr>
          <w:p w14:paraId="02F7BD9F" w14:textId="25915801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Braun et al, 2015</w:t>
            </w:r>
            <w:r w:rsidR="002076DF">
              <w:rPr>
                <w:rFonts w:eastAsia="Times New Roman"/>
                <w:szCs w:val="20"/>
              </w:rPr>
              <w:t>, [5]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75321DA7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1EBCFE50" w14:textId="77777777" w:rsidTr="002076DF">
        <w:tc>
          <w:tcPr>
            <w:tcW w:w="4208" w:type="dxa"/>
            <w:shd w:val="clear" w:color="auto" w:fill="auto"/>
          </w:tcPr>
          <w:p w14:paraId="4225F7F6" w14:textId="4DB384CD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Braun et al, 2015</w:t>
            </w:r>
            <w:r w:rsidR="002076DF">
              <w:rPr>
                <w:rFonts w:eastAsia="Times New Roman"/>
                <w:szCs w:val="20"/>
              </w:rPr>
              <w:t>, [6]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45A67AAC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 xml:space="preserve">Wrong </w:t>
            </w:r>
            <w:r>
              <w:rPr>
                <w:rFonts w:eastAsia="Times New Roman"/>
                <w:szCs w:val="20"/>
              </w:rPr>
              <w:t>objective</w:t>
            </w:r>
          </w:p>
        </w:tc>
      </w:tr>
      <w:tr w:rsidR="00D25F60" w:rsidRPr="00504ADD" w14:paraId="3B49EFAA" w14:textId="77777777" w:rsidTr="002076DF">
        <w:tc>
          <w:tcPr>
            <w:tcW w:w="4208" w:type="dxa"/>
            <w:shd w:val="clear" w:color="auto" w:fill="auto"/>
          </w:tcPr>
          <w:p w14:paraId="53751722" w14:textId="7852D8FB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Braun et al, 2011</w:t>
            </w:r>
            <w:r w:rsidR="002076DF">
              <w:rPr>
                <w:rFonts w:eastAsia="Times New Roman"/>
                <w:szCs w:val="20"/>
              </w:rPr>
              <w:t>, [7]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4E05458C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27413B11" w14:textId="77777777" w:rsidTr="002076DF">
        <w:tc>
          <w:tcPr>
            <w:tcW w:w="4208" w:type="dxa"/>
            <w:shd w:val="clear" w:color="auto" w:fill="auto"/>
          </w:tcPr>
          <w:p w14:paraId="1E7C2480" w14:textId="499850FD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Callhoff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2015</w:t>
            </w:r>
            <w:r w:rsidR="002076DF">
              <w:rPr>
                <w:rFonts w:eastAsia="Times New Roman"/>
                <w:szCs w:val="20"/>
              </w:rPr>
              <w:t>, [8]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1B9110E1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6C72BB44" w14:textId="77777777" w:rsidTr="002076DF">
        <w:tc>
          <w:tcPr>
            <w:tcW w:w="4208" w:type="dxa"/>
            <w:shd w:val="clear" w:color="auto" w:fill="auto"/>
          </w:tcPr>
          <w:p w14:paraId="0C83BEEA" w14:textId="71755B72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Cheung et al, 2008</w:t>
            </w:r>
            <w:r w:rsidR="002076DF">
              <w:rPr>
                <w:rFonts w:eastAsia="Times New Roman"/>
                <w:szCs w:val="20"/>
              </w:rPr>
              <w:t>, [9]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53FD247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22BAE02E" w14:textId="77777777" w:rsidTr="002076DF">
        <w:tc>
          <w:tcPr>
            <w:tcW w:w="4208" w:type="dxa"/>
            <w:shd w:val="clear" w:color="auto" w:fill="auto"/>
          </w:tcPr>
          <w:p w14:paraId="088718DE" w14:textId="07C072F7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Ciurea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2013</w:t>
            </w:r>
            <w:r w:rsidR="002076DF">
              <w:rPr>
                <w:rFonts w:eastAsia="Times New Roman"/>
                <w:szCs w:val="20"/>
              </w:rPr>
              <w:t>, [10]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41D1A52F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06A7251A" w14:textId="77777777" w:rsidTr="002076DF">
        <w:tc>
          <w:tcPr>
            <w:tcW w:w="4208" w:type="dxa"/>
            <w:shd w:val="clear" w:color="auto" w:fill="auto"/>
          </w:tcPr>
          <w:p w14:paraId="763711F6" w14:textId="133EBAB3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Coates et al, 2008</w:t>
            </w:r>
            <w:r w:rsidR="002076DF">
              <w:rPr>
                <w:rFonts w:eastAsia="Times New Roman"/>
                <w:szCs w:val="20"/>
              </w:rPr>
              <w:t>, [11]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9B8EE9F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5D2581A9" w14:textId="77777777" w:rsidTr="002076DF">
        <w:tc>
          <w:tcPr>
            <w:tcW w:w="4208" w:type="dxa"/>
            <w:shd w:val="clear" w:color="auto" w:fill="auto"/>
          </w:tcPr>
          <w:p w14:paraId="55471A08" w14:textId="093F4F89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Corbett et al, 2016</w:t>
            </w:r>
            <w:r w:rsidR="002076DF">
              <w:rPr>
                <w:rFonts w:eastAsia="Times New Roman"/>
                <w:szCs w:val="20"/>
              </w:rPr>
              <w:t>, [12]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23BE789A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design</w:t>
            </w:r>
          </w:p>
        </w:tc>
      </w:tr>
      <w:tr w:rsidR="00D25F60" w:rsidRPr="00504ADD" w14:paraId="73B3A560" w14:textId="77777777" w:rsidTr="002076DF">
        <w:tc>
          <w:tcPr>
            <w:tcW w:w="4208" w:type="dxa"/>
            <w:shd w:val="clear" w:color="auto" w:fill="auto"/>
          </w:tcPr>
          <w:p w14:paraId="02EC28CF" w14:textId="58FAD5A4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Davis et al, 2008</w:t>
            </w:r>
            <w:r w:rsidR="002076DF">
              <w:rPr>
                <w:rFonts w:eastAsia="Times New Roman"/>
                <w:szCs w:val="20"/>
              </w:rPr>
              <w:t>, [13]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8E63CB4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3B9BFCAF" w14:textId="77777777" w:rsidTr="002076DF">
        <w:tc>
          <w:tcPr>
            <w:tcW w:w="4208" w:type="dxa"/>
            <w:shd w:val="clear" w:color="auto" w:fill="auto"/>
          </w:tcPr>
          <w:p w14:paraId="4DDC3881" w14:textId="7CFEB193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Dougados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2012</w:t>
            </w:r>
            <w:r w:rsidR="002076DF">
              <w:rPr>
                <w:rFonts w:eastAsia="Times New Roman"/>
                <w:szCs w:val="20"/>
              </w:rPr>
              <w:t>, [14]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1470849B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6D4D2551" w14:textId="77777777" w:rsidTr="002076DF">
        <w:tc>
          <w:tcPr>
            <w:tcW w:w="4208" w:type="dxa"/>
            <w:shd w:val="clear" w:color="auto" w:fill="auto"/>
          </w:tcPr>
          <w:p w14:paraId="6A399F43" w14:textId="64AD5A24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Escudero-Vilaplana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2015</w:t>
            </w:r>
            <w:r w:rsidR="002076DF">
              <w:rPr>
                <w:rFonts w:eastAsia="Times New Roman"/>
                <w:szCs w:val="20"/>
              </w:rPr>
              <w:t>, [15]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F9FB770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Insufficient data</w:t>
            </w:r>
          </w:p>
        </w:tc>
      </w:tr>
      <w:tr w:rsidR="00D25F60" w:rsidRPr="00504ADD" w14:paraId="390B9C11" w14:textId="77777777" w:rsidTr="002076DF">
        <w:tc>
          <w:tcPr>
            <w:tcW w:w="4208" w:type="dxa"/>
            <w:shd w:val="clear" w:color="auto" w:fill="auto"/>
          </w:tcPr>
          <w:p w14:paraId="439D8844" w14:textId="56B9F4B4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Glintborg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2010</w:t>
            </w:r>
            <w:r w:rsidR="002076DF">
              <w:rPr>
                <w:rFonts w:eastAsia="Times New Roman"/>
                <w:szCs w:val="20"/>
              </w:rPr>
              <w:t>, [16]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0D816BA7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792B593A" w14:textId="77777777" w:rsidTr="002076DF">
        <w:tc>
          <w:tcPr>
            <w:tcW w:w="4208" w:type="dxa"/>
            <w:shd w:val="clear" w:color="auto" w:fill="auto"/>
          </w:tcPr>
          <w:p w14:paraId="0D6F0D13" w14:textId="4DE1912B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Inman et al, 2008</w:t>
            </w:r>
            <w:r w:rsidR="002076DF">
              <w:rPr>
                <w:rFonts w:eastAsia="Times New Roman"/>
                <w:szCs w:val="20"/>
              </w:rPr>
              <w:t>, [17]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78553DA8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650E9CA4" w14:textId="77777777" w:rsidTr="002076DF">
        <w:tc>
          <w:tcPr>
            <w:tcW w:w="4208" w:type="dxa"/>
            <w:shd w:val="clear" w:color="auto" w:fill="auto"/>
          </w:tcPr>
          <w:p w14:paraId="0F0B0860" w14:textId="2A7C0346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Kalyoncu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2015</w:t>
            </w:r>
            <w:r w:rsidR="002076DF">
              <w:rPr>
                <w:rFonts w:eastAsia="Times New Roman"/>
                <w:szCs w:val="20"/>
              </w:rPr>
              <w:t>, [18]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54CF98E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 xml:space="preserve">Wrong </w:t>
            </w:r>
            <w:r>
              <w:rPr>
                <w:rFonts w:eastAsia="Times New Roman"/>
                <w:szCs w:val="20"/>
              </w:rPr>
              <w:t>objective</w:t>
            </w:r>
          </w:p>
        </w:tc>
      </w:tr>
      <w:tr w:rsidR="00D25F60" w:rsidRPr="00504ADD" w14:paraId="5E90548F" w14:textId="77777777" w:rsidTr="002076DF">
        <w:tc>
          <w:tcPr>
            <w:tcW w:w="4208" w:type="dxa"/>
            <w:shd w:val="clear" w:color="auto" w:fill="auto"/>
          </w:tcPr>
          <w:p w14:paraId="7C9C3A88" w14:textId="0F844514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Landewé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2014</w:t>
            </w:r>
            <w:r w:rsidR="002076DF">
              <w:rPr>
                <w:rFonts w:eastAsia="Times New Roman"/>
                <w:szCs w:val="20"/>
              </w:rPr>
              <w:t>, [19]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107E7662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Insufficient data</w:t>
            </w:r>
          </w:p>
        </w:tc>
      </w:tr>
      <w:tr w:rsidR="00D25F60" w:rsidRPr="00504ADD" w14:paraId="4ED395B6" w14:textId="77777777" w:rsidTr="002076DF">
        <w:tc>
          <w:tcPr>
            <w:tcW w:w="4208" w:type="dxa"/>
            <w:shd w:val="clear" w:color="auto" w:fill="auto"/>
          </w:tcPr>
          <w:p w14:paraId="6208CC50" w14:textId="1689D0E3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Lekpa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2012</w:t>
            </w:r>
            <w:r w:rsidR="002076DF">
              <w:rPr>
                <w:rFonts w:eastAsia="Times New Roman"/>
                <w:szCs w:val="20"/>
              </w:rPr>
              <w:t>, [20]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0692F527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5D40CB5B" w14:textId="77777777" w:rsidTr="002076DF">
        <w:tc>
          <w:tcPr>
            <w:tcW w:w="4208" w:type="dxa"/>
            <w:shd w:val="clear" w:color="auto" w:fill="auto"/>
          </w:tcPr>
          <w:p w14:paraId="262337F7" w14:textId="0B3A38AD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Lekpa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2012</w:t>
            </w:r>
            <w:r w:rsidR="002076DF">
              <w:rPr>
                <w:rFonts w:eastAsia="Times New Roman"/>
                <w:szCs w:val="20"/>
              </w:rPr>
              <w:t>, [21]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026D832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7B49A70B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19C6500E" w14:textId="4634ADBE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Park et al, 2013</w:t>
            </w:r>
            <w:r w:rsidR="002076DF">
              <w:rPr>
                <w:rFonts w:eastAsia="Times New Roman"/>
                <w:szCs w:val="20"/>
              </w:rPr>
              <w:t>, [22]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67F9F570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7DA97EA2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539A5DA3" w14:textId="2EBFADFF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Pathan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2013</w:t>
            </w:r>
            <w:r w:rsidR="002076DF">
              <w:rPr>
                <w:rFonts w:eastAsia="Times New Roman"/>
                <w:szCs w:val="20"/>
              </w:rPr>
              <w:t>, [23]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64070DCE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3377AEEE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6A6C1525" w14:textId="59F64DFE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Plasencia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2013</w:t>
            </w:r>
            <w:r w:rsidR="002076DF">
              <w:rPr>
                <w:rFonts w:eastAsia="Times New Roman"/>
                <w:szCs w:val="20"/>
              </w:rPr>
              <w:t>, [24]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4F7415DD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Insufficient data</w:t>
            </w:r>
          </w:p>
        </w:tc>
      </w:tr>
      <w:tr w:rsidR="00D25F60" w:rsidRPr="00504ADD" w14:paraId="3C43643B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117EACAB" w14:textId="7A1CC375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Poddubnyy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2013</w:t>
            </w:r>
            <w:r w:rsidR="002076DF">
              <w:rPr>
                <w:rFonts w:eastAsia="Times New Roman"/>
                <w:szCs w:val="20"/>
              </w:rPr>
              <w:t>, [25]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43B2C52F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55216951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00690234" w14:textId="3C836A7F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Rahman</w:t>
            </w:r>
            <w:proofErr w:type="spellEnd"/>
            <w:r>
              <w:rPr>
                <w:rFonts w:eastAsia="Times New Roman"/>
                <w:szCs w:val="20"/>
              </w:rPr>
              <w:t xml:space="preserve"> et al, 2016</w:t>
            </w:r>
            <w:r w:rsidR="002076DF">
              <w:rPr>
                <w:rFonts w:eastAsia="Times New Roman"/>
                <w:szCs w:val="20"/>
              </w:rPr>
              <w:t>, [26]</w:t>
            </w:r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57864567" w14:textId="77777777" w:rsidR="00D25F60" w:rsidRPr="00290FF4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5677F2CD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7DD23C09" w14:textId="4F4CC31D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Ruwaard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2015</w:t>
            </w:r>
            <w:r w:rsidR="002076DF">
              <w:rPr>
                <w:rFonts w:eastAsia="Times New Roman"/>
                <w:szCs w:val="20"/>
              </w:rPr>
              <w:t>, [27]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05562FE4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084A262F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52AA8C6C" w14:textId="69FCB9CE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Sieper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2013</w:t>
            </w:r>
            <w:r w:rsidR="002076DF">
              <w:rPr>
                <w:rFonts w:eastAsia="Times New Roman"/>
                <w:szCs w:val="20"/>
              </w:rPr>
              <w:t>, [28]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73D9DEED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34BDFBF4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1FA784C2" w14:textId="4B85CA12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Sieper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2015</w:t>
            </w:r>
            <w:r w:rsidR="002076DF">
              <w:rPr>
                <w:rFonts w:eastAsia="Times New Roman"/>
                <w:szCs w:val="20"/>
              </w:rPr>
              <w:t>, [29]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789CDC57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1041DB2A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77778D57" w14:textId="05A89D12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 w:rsidRPr="003E20C8">
              <w:rPr>
                <w:rFonts w:eastAsia="Times New Roman"/>
                <w:szCs w:val="20"/>
              </w:rPr>
              <w:t>Sieper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2015</w:t>
            </w:r>
            <w:r w:rsidR="002076DF">
              <w:rPr>
                <w:rFonts w:eastAsia="Times New Roman"/>
                <w:szCs w:val="20"/>
              </w:rPr>
              <w:t>, [30]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40762A4E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07AF0909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49819227" w14:textId="309E7250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Sieper</w:t>
            </w:r>
            <w:proofErr w:type="spellEnd"/>
            <w:r>
              <w:rPr>
                <w:rFonts w:eastAsia="Times New Roman"/>
                <w:szCs w:val="20"/>
              </w:rPr>
              <w:t xml:space="preserve"> et al, 2017</w:t>
            </w:r>
            <w:r w:rsidR="002076DF">
              <w:rPr>
                <w:rFonts w:eastAsia="Times New Roman"/>
                <w:szCs w:val="20"/>
              </w:rPr>
              <w:t>, [31]</w:t>
            </w:r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0AD0CF58" w14:textId="77777777" w:rsidR="00D25F60" w:rsidRPr="00290FF4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4FBBA788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60FA5C3C" w14:textId="5645DE34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Song et al, 2010</w:t>
            </w:r>
            <w:r w:rsidR="002076DF">
              <w:rPr>
                <w:rFonts w:eastAsia="Times New Roman"/>
                <w:szCs w:val="20"/>
              </w:rPr>
              <w:t>, [32]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7FB14BF3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0E26E7A0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6D16E8CA" w14:textId="767C9132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Song et al, 2011</w:t>
            </w:r>
            <w:r w:rsidR="002076DF">
              <w:rPr>
                <w:rFonts w:eastAsia="Times New Roman"/>
                <w:szCs w:val="20"/>
              </w:rPr>
              <w:t>, [33]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22ED8C2A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480C4426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059099BB" w14:textId="2A242695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gramStart"/>
            <w:r w:rsidRPr="003E20C8">
              <w:rPr>
                <w:rFonts w:eastAsia="Times New Roman"/>
                <w:szCs w:val="20"/>
              </w:rPr>
              <w:t>van</w:t>
            </w:r>
            <w:proofErr w:type="gramEnd"/>
            <w:r w:rsidRPr="003E20C8">
              <w:rPr>
                <w:rFonts w:eastAsia="Times New Roman"/>
                <w:szCs w:val="20"/>
              </w:rPr>
              <w:t xml:space="preserve"> der </w:t>
            </w:r>
            <w:proofErr w:type="spellStart"/>
            <w:r w:rsidRPr="003E20C8">
              <w:rPr>
                <w:rFonts w:eastAsia="Times New Roman"/>
                <w:szCs w:val="20"/>
              </w:rPr>
              <w:t>Heijde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2008</w:t>
            </w:r>
            <w:r w:rsidR="002076DF">
              <w:rPr>
                <w:rFonts w:eastAsia="Times New Roman"/>
                <w:szCs w:val="20"/>
              </w:rPr>
              <w:t>, [34]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17663BAE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44F43F2C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199F39A7" w14:textId="504248D3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proofErr w:type="gramStart"/>
            <w:r w:rsidRPr="003E20C8">
              <w:rPr>
                <w:rFonts w:eastAsia="Times New Roman"/>
                <w:szCs w:val="20"/>
              </w:rPr>
              <w:t>van</w:t>
            </w:r>
            <w:proofErr w:type="gramEnd"/>
            <w:r w:rsidRPr="003E20C8">
              <w:rPr>
                <w:rFonts w:eastAsia="Times New Roman"/>
                <w:szCs w:val="20"/>
              </w:rPr>
              <w:t xml:space="preserve"> der </w:t>
            </w:r>
            <w:proofErr w:type="spellStart"/>
            <w:r w:rsidRPr="003E20C8">
              <w:rPr>
                <w:rFonts w:eastAsia="Times New Roman"/>
                <w:szCs w:val="20"/>
              </w:rPr>
              <w:t>Heijde</w:t>
            </w:r>
            <w:proofErr w:type="spellEnd"/>
            <w:r w:rsidRPr="003E20C8">
              <w:rPr>
                <w:rFonts w:eastAsia="Times New Roman"/>
                <w:szCs w:val="20"/>
              </w:rPr>
              <w:t xml:space="preserve"> et al, 2011</w:t>
            </w:r>
            <w:r w:rsidR="002076DF">
              <w:rPr>
                <w:rFonts w:eastAsia="Times New Roman"/>
                <w:szCs w:val="20"/>
              </w:rPr>
              <w:t>. [35]</w:t>
            </w:r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0C7378F6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  <w:tr w:rsidR="00D25F60" w:rsidRPr="00504ADD" w14:paraId="0FB8243F" w14:textId="77777777" w:rsidTr="002076DF">
        <w:trPr>
          <w:trHeight w:val="138"/>
        </w:trPr>
        <w:tc>
          <w:tcPr>
            <w:tcW w:w="4208" w:type="dxa"/>
            <w:shd w:val="clear" w:color="auto" w:fill="auto"/>
          </w:tcPr>
          <w:p w14:paraId="69285199" w14:textId="41749A7C" w:rsidR="00D25F60" w:rsidRPr="003E20C8" w:rsidRDefault="00D25F60" w:rsidP="003E20A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3E20C8">
              <w:rPr>
                <w:rFonts w:eastAsia="Times New Roman"/>
                <w:szCs w:val="20"/>
              </w:rPr>
              <w:t>Wang et al, 2014</w:t>
            </w:r>
            <w:r w:rsidR="002076DF">
              <w:rPr>
                <w:rFonts w:eastAsia="Times New Roman"/>
                <w:szCs w:val="20"/>
              </w:rPr>
              <w:t>, [36]</w:t>
            </w:r>
            <w:bookmarkStart w:id="0" w:name="_GoBack"/>
            <w:bookmarkEnd w:id="0"/>
            <w:r w:rsidR="003E20AF" w:rsidRPr="003E20C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4ACF59E3" w14:textId="77777777" w:rsidR="00D25F60" w:rsidRPr="003E20C8" w:rsidRDefault="00D25F60" w:rsidP="002076DF">
            <w:pPr>
              <w:pBdr>
                <w:between w:val="single" w:sz="18" w:space="1" w:color="FFFFFF"/>
              </w:pBdr>
              <w:rPr>
                <w:rFonts w:eastAsia="Times New Roman"/>
                <w:szCs w:val="20"/>
              </w:rPr>
            </w:pPr>
            <w:r w:rsidRPr="00290FF4">
              <w:rPr>
                <w:rFonts w:eastAsia="Times New Roman"/>
                <w:szCs w:val="20"/>
              </w:rPr>
              <w:t>Wrong population</w:t>
            </w:r>
          </w:p>
        </w:tc>
      </w:tr>
    </w:tbl>
    <w:p w14:paraId="26534301" w14:textId="77777777" w:rsidR="00D25F60" w:rsidRDefault="00D25F60" w:rsidP="00D25F60">
      <w:pPr>
        <w:rPr>
          <w:sz w:val="20"/>
          <w:szCs w:val="20"/>
        </w:rPr>
      </w:pPr>
    </w:p>
    <w:p w14:paraId="633E4717" w14:textId="77777777" w:rsidR="00D25F60" w:rsidRDefault="00D25F60" w:rsidP="00D25F60">
      <w:pPr>
        <w:rPr>
          <w:sz w:val="20"/>
          <w:szCs w:val="20"/>
        </w:rPr>
      </w:pPr>
    </w:p>
    <w:p w14:paraId="673A335E" w14:textId="77777777" w:rsidR="00D25F60" w:rsidRDefault="00D25F60" w:rsidP="00D25F60">
      <w:pPr>
        <w:rPr>
          <w:sz w:val="20"/>
          <w:szCs w:val="20"/>
        </w:rPr>
      </w:pPr>
    </w:p>
    <w:p w14:paraId="3ED17A36" w14:textId="77777777" w:rsidR="00D25F60" w:rsidRDefault="00D25F60" w:rsidP="00D25F60">
      <w:pPr>
        <w:ind w:left="720" w:hanging="720"/>
        <w:rPr>
          <w:sz w:val="20"/>
          <w:szCs w:val="20"/>
        </w:rPr>
      </w:pPr>
    </w:p>
    <w:p w14:paraId="054A3406" w14:textId="77777777" w:rsidR="00885F1B" w:rsidRDefault="00885F1B"/>
    <w:p w14:paraId="27A3B827" w14:textId="77777777" w:rsidR="002076DF" w:rsidRDefault="002076DF"/>
    <w:p w14:paraId="4EDC6FEE" w14:textId="77777777" w:rsidR="002076DF" w:rsidRDefault="002076DF"/>
    <w:p w14:paraId="79BEED67" w14:textId="77777777" w:rsidR="002076DF" w:rsidRDefault="002076DF"/>
    <w:p w14:paraId="2CA6707F" w14:textId="77777777" w:rsidR="002076DF" w:rsidRDefault="002076DF"/>
    <w:p w14:paraId="08367728" w14:textId="77777777" w:rsidR="002076DF" w:rsidRDefault="002076DF"/>
    <w:p w14:paraId="2C85E3CB" w14:textId="77777777" w:rsidR="002076DF" w:rsidRDefault="002076DF"/>
    <w:p w14:paraId="2780A74F" w14:textId="4D05FA60" w:rsidR="002076DF" w:rsidRPr="00E76155" w:rsidRDefault="002076DF">
      <w:pPr>
        <w:rPr>
          <w:b/>
        </w:rPr>
      </w:pPr>
      <w:r w:rsidRPr="00E76155">
        <w:rPr>
          <w:b/>
        </w:rPr>
        <w:t>R</w:t>
      </w:r>
      <w:r w:rsidR="00E76155">
        <w:rPr>
          <w:b/>
        </w:rPr>
        <w:t>eferenc</w:t>
      </w:r>
      <w:r w:rsidR="00371EBC">
        <w:rPr>
          <w:b/>
        </w:rPr>
        <w:t>es</w:t>
      </w:r>
    </w:p>
    <w:p w14:paraId="30EFE3B3" w14:textId="77777777" w:rsidR="002076DF" w:rsidRDefault="002076DF"/>
    <w:p w14:paraId="3F9FB25D" w14:textId="25E71A86" w:rsidR="002076DF" w:rsidRDefault="004760DB" w:rsidP="00371EBC">
      <w:pPr>
        <w:spacing w:line="480" w:lineRule="auto"/>
        <w:jc w:val="both"/>
      </w:pPr>
      <w:r>
        <w:t xml:space="preserve">1. </w:t>
      </w:r>
      <w:r w:rsidRPr="00CF4614">
        <w:rPr>
          <w:rFonts w:ascii="Cambria" w:hAnsi="Cambria"/>
          <w:noProof/>
          <w:szCs w:val="20"/>
        </w:rPr>
        <w:t>Baeten D, Baraliakos X, Braun J, et al. Anti-interleukin-17A monoclonal antibody secukinumab in treatment of ankylosing spondylitis: a randomised, double-blind, placebo-controlled trial. Lancet 2013;382(9906):1705-13.</w:t>
      </w:r>
    </w:p>
    <w:p w14:paraId="37F44930" w14:textId="1C9867F4" w:rsidR="002076DF" w:rsidRDefault="004760DB" w:rsidP="00371EBC">
      <w:pPr>
        <w:spacing w:line="480" w:lineRule="auto"/>
        <w:jc w:val="both"/>
      </w:pPr>
      <w:bookmarkStart w:id="1" w:name="_ENREF_27"/>
      <w:r>
        <w:t>2</w:t>
      </w:r>
      <w:r w:rsidR="002076DF" w:rsidRPr="002076DF">
        <w:t xml:space="preserve">. </w:t>
      </w:r>
      <w:proofErr w:type="spellStart"/>
      <w:r w:rsidR="002076DF" w:rsidRPr="002076DF">
        <w:t>Baeten</w:t>
      </w:r>
      <w:proofErr w:type="spellEnd"/>
      <w:r w:rsidR="002076DF" w:rsidRPr="002076DF">
        <w:t xml:space="preserve"> D, </w:t>
      </w:r>
      <w:proofErr w:type="spellStart"/>
      <w:r w:rsidR="002076DF" w:rsidRPr="002076DF">
        <w:t>Sieper</w:t>
      </w:r>
      <w:proofErr w:type="spellEnd"/>
      <w:r w:rsidR="002076DF" w:rsidRPr="002076DF">
        <w:t xml:space="preserve"> J, Braun J, et al. </w:t>
      </w:r>
      <w:proofErr w:type="spellStart"/>
      <w:r w:rsidR="002076DF" w:rsidRPr="002076DF">
        <w:t>Secukinumab</w:t>
      </w:r>
      <w:proofErr w:type="spellEnd"/>
      <w:r w:rsidR="002076DF" w:rsidRPr="002076DF">
        <w:t xml:space="preserve">, an Interleukin-17A Inhibitor, in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Spondylitis. N </w:t>
      </w:r>
      <w:proofErr w:type="spellStart"/>
      <w:r w:rsidR="002076DF" w:rsidRPr="002076DF">
        <w:t>Engl</w:t>
      </w:r>
      <w:proofErr w:type="spellEnd"/>
      <w:r w:rsidR="002076DF" w:rsidRPr="002076DF">
        <w:t xml:space="preserve"> J Med 2015</w:t>
      </w:r>
      <w:proofErr w:type="gramStart"/>
      <w:r w:rsidR="002076DF" w:rsidRPr="002076DF">
        <w:t>;373</w:t>
      </w:r>
      <w:proofErr w:type="gramEnd"/>
      <w:r w:rsidR="002076DF" w:rsidRPr="002076DF">
        <w:t>(26):2534-48.</w:t>
      </w:r>
      <w:bookmarkEnd w:id="1"/>
    </w:p>
    <w:p w14:paraId="7A88EE89" w14:textId="4EC9F65E" w:rsidR="004760DB" w:rsidRPr="002076DF" w:rsidRDefault="004760DB" w:rsidP="00371EBC">
      <w:pPr>
        <w:spacing w:line="480" w:lineRule="auto"/>
        <w:jc w:val="both"/>
      </w:pPr>
      <w:r>
        <w:t xml:space="preserve">3. </w:t>
      </w:r>
      <w:proofErr w:type="spellStart"/>
      <w:r>
        <w:t>Baraliakos</w:t>
      </w:r>
      <w:proofErr w:type="spellEnd"/>
      <w:r>
        <w:t xml:space="preserve"> X</w:t>
      </w:r>
      <w:proofErr w:type="gramStart"/>
      <w:r>
        <w:t xml:space="preserve">, </w:t>
      </w:r>
      <w:r w:rsidRPr="004760DB">
        <w:t xml:space="preserve"> </w:t>
      </w:r>
      <w:r>
        <w:t>Borah</w:t>
      </w:r>
      <w:proofErr w:type="gramEnd"/>
      <w:r>
        <w:t xml:space="preserve"> B, Braun J, </w:t>
      </w:r>
      <w:r w:rsidRPr="004760DB">
        <w:t xml:space="preserve">et al. Long-term effects of </w:t>
      </w:r>
      <w:proofErr w:type="spellStart"/>
      <w:r w:rsidRPr="004760DB">
        <w:t>secukinumab</w:t>
      </w:r>
      <w:proofErr w:type="spellEnd"/>
      <w:r w:rsidRPr="004760DB">
        <w:t xml:space="preserve"> on MRI findings in relation to clinical efficacy in subjects with active </w:t>
      </w:r>
      <w:proofErr w:type="spellStart"/>
      <w:r w:rsidRPr="004760DB">
        <w:t>ankylosing</w:t>
      </w:r>
      <w:proofErr w:type="spellEnd"/>
      <w:r w:rsidRPr="004760DB">
        <w:t xml:space="preserve"> spondylitis: an observational study. Ann Rheum Dis </w:t>
      </w:r>
      <w:r>
        <w:t>2016</w:t>
      </w:r>
      <w:proofErr w:type="gramStart"/>
      <w:r>
        <w:t>;75:408</w:t>
      </w:r>
      <w:proofErr w:type="gramEnd"/>
      <w:r>
        <w:t>-12</w:t>
      </w:r>
      <w:r w:rsidRPr="004760DB">
        <w:t>.</w:t>
      </w:r>
    </w:p>
    <w:p w14:paraId="31A88B2F" w14:textId="4DF8793D" w:rsidR="002076DF" w:rsidRPr="002076DF" w:rsidRDefault="00303097" w:rsidP="00371EBC">
      <w:pPr>
        <w:spacing w:line="480" w:lineRule="auto"/>
        <w:jc w:val="both"/>
      </w:pPr>
      <w:bookmarkStart w:id="2" w:name="_ENREF_28"/>
      <w:r>
        <w:t>4</w:t>
      </w:r>
      <w:r w:rsidR="002076DF" w:rsidRPr="002076DF">
        <w:t xml:space="preserve">. Braun J, </w:t>
      </w:r>
      <w:proofErr w:type="spellStart"/>
      <w:r w:rsidR="002076DF" w:rsidRPr="002076DF">
        <w:t>Baraliakos</w:t>
      </w:r>
      <w:proofErr w:type="spellEnd"/>
      <w:r w:rsidR="002076DF" w:rsidRPr="002076DF">
        <w:t xml:space="preserve"> X, Hermann KG, et al. </w:t>
      </w:r>
      <w:proofErr w:type="spellStart"/>
      <w:r w:rsidR="002076DF" w:rsidRPr="002076DF">
        <w:t>Golimumab</w:t>
      </w:r>
      <w:proofErr w:type="spellEnd"/>
      <w:r w:rsidR="002076DF" w:rsidRPr="002076DF">
        <w:t xml:space="preserve"> reduces spinal inflammation in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spondylitis: MRI results of the randomised, placebo- controlled GO-RAISE study. Ann Rheum Dis 2012</w:t>
      </w:r>
      <w:proofErr w:type="gramStart"/>
      <w:r w:rsidR="002076DF" w:rsidRPr="002076DF">
        <w:t>;71</w:t>
      </w:r>
      <w:proofErr w:type="gramEnd"/>
      <w:r w:rsidR="002076DF" w:rsidRPr="002076DF">
        <w:t>(6):878-84.</w:t>
      </w:r>
      <w:bookmarkEnd w:id="2"/>
    </w:p>
    <w:p w14:paraId="29F04E43" w14:textId="293235C1" w:rsidR="002076DF" w:rsidRPr="002076DF" w:rsidRDefault="00303097" w:rsidP="00371EBC">
      <w:pPr>
        <w:spacing w:line="480" w:lineRule="auto"/>
        <w:jc w:val="both"/>
      </w:pPr>
      <w:bookmarkStart w:id="3" w:name="_ENREF_29"/>
      <w:r>
        <w:t>5</w:t>
      </w:r>
      <w:r w:rsidR="002076DF" w:rsidRPr="002076DF">
        <w:t xml:space="preserve">. Braun J, </w:t>
      </w:r>
      <w:proofErr w:type="spellStart"/>
      <w:r w:rsidR="002076DF" w:rsidRPr="002076DF">
        <w:t>Maksymowych</w:t>
      </w:r>
      <w:proofErr w:type="spellEnd"/>
      <w:r w:rsidR="002076DF" w:rsidRPr="002076DF">
        <w:t xml:space="preserve"> WP, </w:t>
      </w:r>
      <w:proofErr w:type="spellStart"/>
      <w:r w:rsidR="002076DF" w:rsidRPr="002076DF">
        <w:t>Landewé</w:t>
      </w:r>
      <w:proofErr w:type="spellEnd"/>
      <w:r w:rsidR="002076DF" w:rsidRPr="002076DF">
        <w:t xml:space="preserve"> R, et al. Achievement of remission of inflammation in the spine and sacroiliac joints measured by magnetic resonance imaging (MRI) in patients with axial </w:t>
      </w:r>
      <w:proofErr w:type="spellStart"/>
      <w:r w:rsidR="002076DF" w:rsidRPr="002076DF">
        <w:t>spondyloarthritis</w:t>
      </w:r>
      <w:proofErr w:type="spellEnd"/>
      <w:r w:rsidR="002076DF" w:rsidRPr="002076DF">
        <w:t xml:space="preserve">, and associations between MRI and clinical remission, over 96 weeks of treatment with </w:t>
      </w:r>
      <w:proofErr w:type="spellStart"/>
      <w:r w:rsidR="002076DF" w:rsidRPr="002076DF">
        <w:t>Certolizumab</w:t>
      </w:r>
      <w:proofErr w:type="spellEnd"/>
      <w:r w:rsidR="002076DF" w:rsidRPr="002076DF">
        <w:t xml:space="preserve"> </w:t>
      </w:r>
      <w:proofErr w:type="spellStart"/>
      <w:r w:rsidR="002076DF" w:rsidRPr="002076DF">
        <w:t>Pegol</w:t>
      </w:r>
      <w:proofErr w:type="spellEnd"/>
      <w:r w:rsidR="002076DF" w:rsidRPr="002076DF">
        <w:t>. Annals of the Rheumatic Diseases 2015</w:t>
      </w:r>
      <w:proofErr w:type="gramStart"/>
      <w:r w:rsidR="002076DF" w:rsidRPr="002076DF">
        <w:t>;74134</w:t>
      </w:r>
      <w:proofErr w:type="gramEnd"/>
      <w:r w:rsidR="002076DF" w:rsidRPr="002076DF">
        <w:t>-35.</w:t>
      </w:r>
      <w:bookmarkEnd w:id="3"/>
    </w:p>
    <w:p w14:paraId="02F71F0F" w14:textId="21119159" w:rsidR="002076DF" w:rsidRPr="002076DF" w:rsidRDefault="00303097" w:rsidP="00371EBC">
      <w:pPr>
        <w:spacing w:line="480" w:lineRule="auto"/>
        <w:jc w:val="both"/>
      </w:pPr>
      <w:bookmarkStart w:id="4" w:name="_ENREF_30"/>
      <w:r>
        <w:t>6</w:t>
      </w:r>
      <w:r w:rsidR="002076DF" w:rsidRPr="002076DF">
        <w:t xml:space="preserve">. Braun J, </w:t>
      </w:r>
      <w:proofErr w:type="spellStart"/>
      <w:r w:rsidR="002076DF" w:rsidRPr="002076DF">
        <w:t>Sieper</w:t>
      </w:r>
      <w:proofErr w:type="spellEnd"/>
      <w:r w:rsidR="002076DF" w:rsidRPr="002076DF">
        <w:t xml:space="preserve"> J, </w:t>
      </w:r>
      <w:proofErr w:type="spellStart"/>
      <w:r w:rsidR="002076DF" w:rsidRPr="002076DF">
        <w:t>Aelion</w:t>
      </w:r>
      <w:proofErr w:type="spellEnd"/>
      <w:r w:rsidR="002076DF" w:rsidRPr="002076DF">
        <w:t xml:space="preserve"> J, et al. </w:t>
      </w:r>
      <w:proofErr w:type="spellStart"/>
      <w:r w:rsidR="002076DF" w:rsidRPr="002076DF">
        <w:t>Secukinumab</w:t>
      </w:r>
      <w:proofErr w:type="spellEnd"/>
      <w:r w:rsidR="002076DF" w:rsidRPr="002076DF">
        <w:t xml:space="preserve"> improves multiple parameters of disease activity in subjects with active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 through 52 weeks of subcutaneous therapy: Data from the phase 3 measure 2 study. Annals of the Rheumatic Diseases 2015</w:t>
      </w:r>
      <w:proofErr w:type="gramStart"/>
      <w:r w:rsidR="002076DF" w:rsidRPr="002076DF">
        <w:t>;741147</w:t>
      </w:r>
      <w:proofErr w:type="gramEnd"/>
      <w:r w:rsidR="002076DF" w:rsidRPr="002076DF">
        <w:t>.</w:t>
      </w:r>
      <w:bookmarkEnd w:id="4"/>
    </w:p>
    <w:p w14:paraId="5D6F3733" w14:textId="73AE7CBE" w:rsidR="002076DF" w:rsidRPr="002076DF" w:rsidRDefault="00303097" w:rsidP="00371EBC">
      <w:pPr>
        <w:spacing w:line="480" w:lineRule="auto"/>
        <w:jc w:val="both"/>
      </w:pPr>
      <w:bookmarkStart w:id="5" w:name="_ENREF_31"/>
      <w:r>
        <w:t>7</w:t>
      </w:r>
      <w:r w:rsidR="002076DF" w:rsidRPr="002076DF">
        <w:t>. Braun J, van der Horst-</w:t>
      </w:r>
      <w:proofErr w:type="spellStart"/>
      <w:r w:rsidR="002076DF" w:rsidRPr="002076DF">
        <w:t>Bruinsma</w:t>
      </w:r>
      <w:proofErr w:type="spellEnd"/>
      <w:r w:rsidR="002076DF" w:rsidRPr="002076DF">
        <w:t xml:space="preserve"> IE, Huang F, et al. Clinical efficacy and safety of </w:t>
      </w:r>
      <w:proofErr w:type="spellStart"/>
      <w:r w:rsidR="002076DF" w:rsidRPr="002076DF">
        <w:t>etanercept</w:t>
      </w:r>
      <w:proofErr w:type="spellEnd"/>
      <w:r w:rsidR="002076DF" w:rsidRPr="002076DF">
        <w:t xml:space="preserve"> versus sulfasalazine in patients with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spondylitis: a randomized, double-blind trial. Arthritis Rheum 2011</w:t>
      </w:r>
      <w:proofErr w:type="gramStart"/>
      <w:r w:rsidR="002076DF" w:rsidRPr="002076DF">
        <w:t>;63</w:t>
      </w:r>
      <w:proofErr w:type="gramEnd"/>
      <w:r w:rsidR="002076DF" w:rsidRPr="002076DF">
        <w:t>(6):1543-51.</w:t>
      </w:r>
      <w:bookmarkEnd w:id="5"/>
    </w:p>
    <w:p w14:paraId="0EA57494" w14:textId="47047DB8" w:rsidR="002076DF" w:rsidRPr="002076DF" w:rsidRDefault="00303097" w:rsidP="00371EBC">
      <w:pPr>
        <w:spacing w:line="480" w:lineRule="auto"/>
        <w:jc w:val="both"/>
      </w:pPr>
      <w:bookmarkStart w:id="6" w:name="_ENREF_32"/>
      <w:r>
        <w:t>8</w:t>
      </w:r>
      <w:r w:rsidR="002076DF" w:rsidRPr="002076DF">
        <w:t xml:space="preserve">. </w:t>
      </w:r>
      <w:proofErr w:type="spellStart"/>
      <w:r w:rsidR="002076DF" w:rsidRPr="002076DF">
        <w:t>Callhoff</w:t>
      </w:r>
      <w:proofErr w:type="spellEnd"/>
      <w:r w:rsidR="002076DF" w:rsidRPr="002076DF">
        <w:t xml:space="preserve"> J, </w:t>
      </w:r>
      <w:proofErr w:type="spellStart"/>
      <w:r w:rsidR="002076DF" w:rsidRPr="002076DF">
        <w:t>Sieper</w:t>
      </w:r>
      <w:proofErr w:type="spellEnd"/>
      <w:r w:rsidR="002076DF" w:rsidRPr="002076DF">
        <w:t xml:space="preserve"> J, Weiss A, et al. Efficacy of </w:t>
      </w:r>
      <w:proofErr w:type="spellStart"/>
      <w:r w:rsidR="002076DF" w:rsidRPr="002076DF">
        <w:t>TNFalpha</w:t>
      </w:r>
      <w:proofErr w:type="spellEnd"/>
      <w:r w:rsidR="002076DF" w:rsidRPr="002076DF">
        <w:t xml:space="preserve"> blockers in patients with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 and non-radiographic axial </w:t>
      </w:r>
      <w:proofErr w:type="spellStart"/>
      <w:r w:rsidR="002076DF" w:rsidRPr="002076DF">
        <w:t>spondyloarthritis</w:t>
      </w:r>
      <w:proofErr w:type="spellEnd"/>
      <w:r w:rsidR="002076DF" w:rsidRPr="002076DF">
        <w:t>: a meta-analysis. Ann Rheum Dis 2015</w:t>
      </w:r>
      <w:proofErr w:type="gramStart"/>
      <w:r w:rsidR="002076DF" w:rsidRPr="002076DF">
        <w:t>;74</w:t>
      </w:r>
      <w:proofErr w:type="gramEnd"/>
      <w:r w:rsidR="002076DF" w:rsidRPr="002076DF">
        <w:t>(6):1241-8.</w:t>
      </w:r>
      <w:bookmarkEnd w:id="6"/>
    </w:p>
    <w:p w14:paraId="7C75FC19" w14:textId="4E880DED" w:rsidR="002076DF" w:rsidRPr="002076DF" w:rsidRDefault="00303097" w:rsidP="00371EBC">
      <w:pPr>
        <w:spacing w:line="480" w:lineRule="auto"/>
        <w:jc w:val="both"/>
      </w:pPr>
      <w:bookmarkStart w:id="7" w:name="_ENREF_33"/>
      <w:r>
        <w:t>9</w:t>
      </w:r>
      <w:r w:rsidR="002076DF" w:rsidRPr="002076DF">
        <w:t xml:space="preserve">. Cheung PP, </w:t>
      </w:r>
      <w:proofErr w:type="spellStart"/>
      <w:r w:rsidR="002076DF" w:rsidRPr="002076DF">
        <w:t>Tymms</w:t>
      </w:r>
      <w:proofErr w:type="spellEnd"/>
      <w:r w:rsidR="002076DF" w:rsidRPr="002076DF">
        <w:t xml:space="preserve"> KE, Wilson BJ, et al. Infliximab in severe active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 with spinal </w:t>
      </w:r>
      <w:proofErr w:type="spellStart"/>
      <w:r w:rsidR="002076DF" w:rsidRPr="002076DF">
        <w:t>ankylosis</w:t>
      </w:r>
      <w:proofErr w:type="spellEnd"/>
      <w:r w:rsidR="002076DF" w:rsidRPr="002076DF">
        <w:t>. Intern Med J 2008</w:t>
      </w:r>
      <w:proofErr w:type="gramStart"/>
      <w:r w:rsidR="002076DF" w:rsidRPr="002076DF">
        <w:t>;38</w:t>
      </w:r>
      <w:proofErr w:type="gramEnd"/>
      <w:r w:rsidR="002076DF" w:rsidRPr="002076DF">
        <w:t>(6):396-401.</w:t>
      </w:r>
      <w:bookmarkEnd w:id="7"/>
    </w:p>
    <w:p w14:paraId="55553CF9" w14:textId="79320D61" w:rsidR="002076DF" w:rsidRPr="002076DF" w:rsidRDefault="00303097" w:rsidP="00371EBC">
      <w:pPr>
        <w:spacing w:line="480" w:lineRule="auto"/>
        <w:jc w:val="both"/>
      </w:pPr>
      <w:bookmarkStart w:id="8" w:name="_ENREF_34"/>
      <w:r>
        <w:t>10</w:t>
      </w:r>
      <w:r w:rsidR="002076DF" w:rsidRPr="002076DF">
        <w:t xml:space="preserve">. </w:t>
      </w:r>
      <w:proofErr w:type="spellStart"/>
      <w:r w:rsidR="002076DF" w:rsidRPr="002076DF">
        <w:t>Ciurea</w:t>
      </w:r>
      <w:proofErr w:type="spellEnd"/>
      <w:r w:rsidR="002076DF" w:rsidRPr="002076DF">
        <w:t xml:space="preserve"> A, Scherer A, </w:t>
      </w:r>
      <w:proofErr w:type="spellStart"/>
      <w:r w:rsidR="002076DF" w:rsidRPr="002076DF">
        <w:t>Exer</w:t>
      </w:r>
      <w:proofErr w:type="spellEnd"/>
      <w:r w:rsidR="002076DF" w:rsidRPr="002076DF">
        <w:t xml:space="preserve"> P, et al. </w:t>
      </w:r>
      <w:proofErr w:type="spellStart"/>
      <w:r w:rsidR="002076DF" w:rsidRPr="002076DF">
        <w:t>Tumor</w:t>
      </w:r>
      <w:proofErr w:type="spellEnd"/>
      <w:r w:rsidR="002076DF" w:rsidRPr="002076DF">
        <w:t xml:space="preserve"> necrosis factor alpha inhibition in radiographic and </w:t>
      </w:r>
      <w:proofErr w:type="spellStart"/>
      <w:r w:rsidR="002076DF" w:rsidRPr="002076DF">
        <w:t>nonradiographic</w:t>
      </w:r>
      <w:proofErr w:type="spellEnd"/>
      <w:r w:rsidR="002076DF" w:rsidRPr="002076DF">
        <w:t xml:space="preserve"> axial </w:t>
      </w:r>
      <w:proofErr w:type="spellStart"/>
      <w:r w:rsidR="002076DF" w:rsidRPr="002076DF">
        <w:t>spondyloarthritis</w:t>
      </w:r>
      <w:proofErr w:type="spellEnd"/>
      <w:r w:rsidR="002076DF" w:rsidRPr="002076DF">
        <w:t>: results from a large observational cohort. Arthritis Rheum 2013</w:t>
      </w:r>
      <w:proofErr w:type="gramStart"/>
      <w:r w:rsidR="002076DF" w:rsidRPr="002076DF">
        <w:t>;65</w:t>
      </w:r>
      <w:proofErr w:type="gramEnd"/>
      <w:r w:rsidR="002076DF" w:rsidRPr="002076DF">
        <w:t>(12):3096-106.</w:t>
      </w:r>
      <w:bookmarkEnd w:id="8"/>
    </w:p>
    <w:p w14:paraId="4210F9E5" w14:textId="4F6F660B" w:rsidR="002076DF" w:rsidRPr="002076DF" w:rsidRDefault="00E76155" w:rsidP="00371EBC">
      <w:pPr>
        <w:spacing w:line="480" w:lineRule="auto"/>
        <w:jc w:val="both"/>
      </w:pPr>
      <w:bookmarkStart w:id="9" w:name="_ENREF_35"/>
      <w:r>
        <w:t>11</w:t>
      </w:r>
      <w:r w:rsidR="002076DF" w:rsidRPr="002076DF">
        <w:t xml:space="preserve">. Coates LC, </w:t>
      </w:r>
      <w:proofErr w:type="spellStart"/>
      <w:r w:rsidR="002076DF" w:rsidRPr="002076DF">
        <w:t>Cawkwell</w:t>
      </w:r>
      <w:proofErr w:type="spellEnd"/>
      <w:r w:rsidR="002076DF" w:rsidRPr="002076DF">
        <w:t xml:space="preserve"> LS, Ng NW, et al. Real life experience confirms sustained response to long-term biologics and switching in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spondylitis. Rheumatology (Oxford) 2008</w:t>
      </w:r>
      <w:proofErr w:type="gramStart"/>
      <w:r w:rsidR="002076DF" w:rsidRPr="002076DF">
        <w:t>;47</w:t>
      </w:r>
      <w:proofErr w:type="gramEnd"/>
      <w:r w:rsidR="002076DF" w:rsidRPr="002076DF">
        <w:t>(6):897-900.</w:t>
      </w:r>
      <w:bookmarkEnd w:id="9"/>
    </w:p>
    <w:p w14:paraId="204F8D13" w14:textId="4DD9535C" w:rsidR="002076DF" w:rsidRPr="002076DF" w:rsidRDefault="00E76155" w:rsidP="00371EBC">
      <w:pPr>
        <w:spacing w:line="480" w:lineRule="auto"/>
        <w:jc w:val="both"/>
      </w:pPr>
      <w:bookmarkStart w:id="10" w:name="_ENREF_36"/>
      <w:r>
        <w:t>12</w:t>
      </w:r>
      <w:r w:rsidR="002076DF" w:rsidRPr="002076DF">
        <w:t xml:space="preserve">. Corbett M, </w:t>
      </w:r>
      <w:proofErr w:type="spellStart"/>
      <w:r w:rsidR="002076DF" w:rsidRPr="002076DF">
        <w:t>Soares</w:t>
      </w:r>
      <w:proofErr w:type="spellEnd"/>
      <w:r w:rsidR="002076DF" w:rsidRPr="002076DF">
        <w:t xml:space="preserve"> M, </w:t>
      </w:r>
      <w:proofErr w:type="spellStart"/>
      <w:r w:rsidR="002076DF" w:rsidRPr="002076DF">
        <w:t>Jhuti</w:t>
      </w:r>
      <w:proofErr w:type="spellEnd"/>
      <w:r w:rsidR="002076DF" w:rsidRPr="002076DF">
        <w:t xml:space="preserve"> G, et al. Tumour necrosis factor-alpha inhibitors for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 and non-radiographic axial </w:t>
      </w:r>
      <w:proofErr w:type="spellStart"/>
      <w:r w:rsidR="002076DF" w:rsidRPr="002076DF">
        <w:t>spondyloarthritis</w:t>
      </w:r>
      <w:proofErr w:type="spellEnd"/>
      <w:r w:rsidR="002076DF" w:rsidRPr="002076DF">
        <w:t xml:space="preserve">: a systematic review and economic evaluation. Health </w:t>
      </w:r>
      <w:proofErr w:type="spellStart"/>
      <w:r w:rsidR="002076DF" w:rsidRPr="002076DF">
        <w:t>Technol</w:t>
      </w:r>
      <w:proofErr w:type="spellEnd"/>
      <w:r w:rsidR="002076DF" w:rsidRPr="002076DF">
        <w:t xml:space="preserve"> Assess 2016</w:t>
      </w:r>
      <w:proofErr w:type="gramStart"/>
      <w:r w:rsidR="002076DF" w:rsidRPr="002076DF">
        <w:t>;20</w:t>
      </w:r>
      <w:proofErr w:type="gramEnd"/>
      <w:r w:rsidR="002076DF" w:rsidRPr="002076DF">
        <w:t>(9):1-334.</w:t>
      </w:r>
      <w:bookmarkEnd w:id="10"/>
    </w:p>
    <w:p w14:paraId="26E3E54D" w14:textId="69911EF9" w:rsidR="002076DF" w:rsidRPr="002076DF" w:rsidRDefault="00E76155" w:rsidP="00371EBC">
      <w:pPr>
        <w:spacing w:line="480" w:lineRule="auto"/>
        <w:jc w:val="both"/>
      </w:pPr>
      <w:bookmarkStart w:id="11" w:name="_ENREF_37"/>
      <w:r>
        <w:t>13</w:t>
      </w:r>
      <w:r w:rsidR="002076DF" w:rsidRPr="002076DF">
        <w:t xml:space="preserve">. Davis JC, Jr., van der </w:t>
      </w:r>
      <w:proofErr w:type="spellStart"/>
      <w:r w:rsidR="002076DF" w:rsidRPr="002076DF">
        <w:t>Heijde</w:t>
      </w:r>
      <w:proofErr w:type="spellEnd"/>
      <w:r w:rsidR="002076DF" w:rsidRPr="002076DF">
        <w:t xml:space="preserve"> DM, Braun J, et al. Efficacy and safety of up to 192 weeks of </w:t>
      </w:r>
      <w:proofErr w:type="spellStart"/>
      <w:r w:rsidR="002076DF" w:rsidRPr="002076DF">
        <w:t>etanercept</w:t>
      </w:r>
      <w:proofErr w:type="spellEnd"/>
      <w:r w:rsidR="002076DF" w:rsidRPr="002076DF">
        <w:t xml:space="preserve"> therapy in patients with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spondylitis. Ann Rheum Dis 2008</w:t>
      </w:r>
      <w:proofErr w:type="gramStart"/>
      <w:r w:rsidR="002076DF" w:rsidRPr="002076DF">
        <w:t>;67</w:t>
      </w:r>
      <w:proofErr w:type="gramEnd"/>
      <w:r w:rsidR="002076DF" w:rsidRPr="002076DF">
        <w:t>(3):346-52.</w:t>
      </w:r>
      <w:bookmarkEnd w:id="11"/>
    </w:p>
    <w:p w14:paraId="0FE074D2" w14:textId="57D4B792" w:rsidR="002076DF" w:rsidRPr="002076DF" w:rsidRDefault="00E76155" w:rsidP="00371EBC">
      <w:pPr>
        <w:spacing w:line="480" w:lineRule="auto"/>
        <w:jc w:val="both"/>
      </w:pPr>
      <w:bookmarkStart w:id="12" w:name="_ENREF_38"/>
      <w:r>
        <w:t>14</w:t>
      </w:r>
      <w:r w:rsidR="002076DF" w:rsidRPr="002076DF">
        <w:t xml:space="preserve">. </w:t>
      </w:r>
      <w:proofErr w:type="spellStart"/>
      <w:r w:rsidR="002076DF" w:rsidRPr="002076DF">
        <w:t>Dougados</w:t>
      </w:r>
      <w:proofErr w:type="spellEnd"/>
      <w:r w:rsidR="002076DF" w:rsidRPr="002076DF">
        <w:t xml:space="preserve"> M, Braun J, </w:t>
      </w:r>
      <w:proofErr w:type="spellStart"/>
      <w:r w:rsidR="002076DF" w:rsidRPr="002076DF">
        <w:t>Szanto</w:t>
      </w:r>
      <w:proofErr w:type="spellEnd"/>
      <w:r w:rsidR="002076DF" w:rsidRPr="002076DF">
        <w:t xml:space="preserve"> S, et al. Continuous efficacy of </w:t>
      </w:r>
      <w:proofErr w:type="spellStart"/>
      <w:r w:rsidR="002076DF" w:rsidRPr="002076DF">
        <w:t>etanercept</w:t>
      </w:r>
      <w:proofErr w:type="spellEnd"/>
      <w:r w:rsidR="002076DF" w:rsidRPr="002076DF">
        <w:t xml:space="preserve"> in severe and advanced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spondylitis: results from a 12-week open-label extension of the SPINE study. Rheumatology (Oxford) 2012</w:t>
      </w:r>
      <w:proofErr w:type="gramStart"/>
      <w:r w:rsidR="002076DF" w:rsidRPr="002076DF">
        <w:t>;51</w:t>
      </w:r>
      <w:proofErr w:type="gramEnd"/>
      <w:r w:rsidR="002076DF" w:rsidRPr="002076DF">
        <w:t>(9):1687-96.</w:t>
      </w:r>
      <w:bookmarkEnd w:id="12"/>
    </w:p>
    <w:p w14:paraId="30EE5875" w14:textId="2BFC2294" w:rsidR="002076DF" w:rsidRPr="002076DF" w:rsidRDefault="00E76155" w:rsidP="00371EBC">
      <w:pPr>
        <w:spacing w:line="480" w:lineRule="auto"/>
        <w:jc w:val="both"/>
      </w:pPr>
      <w:bookmarkStart w:id="13" w:name="_ENREF_39"/>
      <w:r>
        <w:t>15</w:t>
      </w:r>
      <w:r w:rsidR="002076DF" w:rsidRPr="002076DF">
        <w:t xml:space="preserve">. </w:t>
      </w:r>
      <w:proofErr w:type="spellStart"/>
      <w:r w:rsidR="002076DF" w:rsidRPr="002076DF">
        <w:t>Escudero-Vilaplana</w:t>
      </w:r>
      <w:proofErr w:type="spellEnd"/>
      <w:r w:rsidR="002076DF" w:rsidRPr="002076DF">
        <w:t xml:space="preserve"> V, Ramirez-</w:t>
      </w:r>
      <w:proofErr w:type="spellStart"/>
      <w:r w:rsidR="002076DF" w:rsidRPr="002076DF">
        <w:t>Herraiz</w:t>
      </w:r>
      <w:proofErr w:type="spellEnd"/>
      <w:r w:rsidR="002076DF" w:rsidRPr="002076DF">
        <w:t xml:space="preserve"> E, </w:t>
      </w:r>
      <w:proofErr w:type="spellStart"/>
      <w:r w:rsidR="002076DF" w:rsidRPr="002076DF">
        <w:t>Alanon</w:t>
      </w:r>
      <w:proofErr w:type="spellEnd"/>
      <w:r w:rsidR="002076DF" w:rsidRPr="002076DF">
        <w:t xml:space="preserve">-Plaza E, et al. Efficiency of </w:t>
      </w:r>
      <w:proofErr w:type="spellStart"/>
      <w:r w:rsidR="002076DF" w:rsidRPr="002076DF">
        <w:t>adalimumab</w:t>
      </w:r>
      <w:proofErr w:type="spellEnd"/>
      <w:r w:rsidR="002076DF" w:rsidRPr="002076DF">
        <w:t xml:space="preserve">, </w:t>
      </w:r>
      <w:proofErr w:type="spellStart"/>
      <w:r w:rsidR="002076DF" w:rsidRPr="002076DF">
        <w:t>etanercept</w:t>
      </w:r>
      <w:proofErr w:type="spellEnd"/>
      <w:r w:rsidR="002076DF" w:rsidRPr="002076DF">
        <w:t xml:space="preserve"> and infliximab in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 in clinical practice. </w:t>
      </w:r>
      <w:proofErr w:type="spellStart"/>
      <w:r w:rsidR="002076DF" w:rsidRPr="002076DF">
        <w:t>Int</w:t>
      </w:r>
      <w:proofErr w:type="spellEnd"/>
      <w:r w:rsidR="002076DF" w:rsidRPr="002076DF">
        <w:t xml:space="preserve"> J </w:t>
      </w:r>
      <w:proofErr w:type="spellStart"/>
      <w:r w:rsidR="002076DF" w:rsidRPr="002076DF">
        <w:t>Clin</w:t>
      </w:r>
      <w:proofErr w:type="spellEnd"/>
      <w:r w:rsidR="002076DF" w:rsidRPr="002076DF">
        <w:t xml:space="preserve"> Pharm 2015</w:t>
      </w:r>
      <w:proofErr w:type="gramStart"/>
      <w:r w:rsidR="002076DF" w:rsidRPr="002076DF">
        <w:t>;37</w:t>
      </w:r>
      <w:proofErr w:type="gramEnd"/>
      <w:r w:rsidR="002076DF" w:rsidRPr="002076DF">
        <w:t>(5):808-14.</w:t>
      </w:r>
      <w:bookmarkEnd w:id="13"/>
    </w:p>
    <w:p w14:paraId="0753F00C" w14:textId="15A11783" w:rsidR="00E76155" w:rsidRDefault="00E76155" w:rsidP="00371EBC">
      <w:pPr>
        <w:spacing w:line="480" w:lineRule="auto"/>
        <w:jc w:val="both"/>
      </w:pPr>
      <w:bookmarkStart w:id="14" w:name="_ENREF_40"/>
      <w:r>
        <w:t>16</w:t>
      </w:r>
      <w:r w:rsidR="002076DF" w:rsidRPr="002076DF">
        <w:t>.</w:t>
      </w:r>
      <w:r w:rsidRPr="00E76155">
        <w:t xml:space="preserve"> </w:t>
      </w:r>
      <w:proofErr w:type="spellStart"/>
      <w:r>
        <w:t>Glintborg</w:t>
      </w:r>
      <w:proofErr w:type="spellEnd"/>
      <w:r>
        <w:t xml:space="preserve"> B, </w:t>
      </w:r>
      <w:proofErr w:type="spellStart"/>
      <w:r>
        <w:t>Ostergaard</w:t>
      </w:r>
      <w:proofErr w:type="spellEnd"/>
      <w:r>
        <w:t xml:space="preserve"> M, Krogh NS, et al. P</w:t>
      </w:r>
      <w:r w:rsidRPr="00E76155">
        <w:t xml:space="preserve">redictors of treatment response and drug continuation in 842 patients with </w:t>
      </w:r>
      <w:proofErr w:type="spellStart"/>
      <w:r w:rsidRPr="00E76155">
        <w:t>ankylosing</w:t>
      </w:r>
      <w:proofErr w:type="spellEnd"/>
      <w:r w:rsidRPr="00E76155">
        <w:t xml:space="preserve"> spondylitis treated with anti-tumour necrosis factor: results from 8 years' surveillance in the Danish nationwide DANBIO registry. Ann Rheum Dis </w:t>
      </w:r>
      <w:r>
        <w:t>2010</w:t>
      </w:r>
      <w:proofErr w:type="gramStart"/>
      <w:r>
        <w:t>;69:</w:t>
      </w:r>
      <w:r w:rsidRPr="00E76155">
        <w:t>2002</w:t>
      </w:r>
      <w:proofErr w:type="gramEnd"/>
      <w:r w:rsidRPr="00E76155">
        <w:t>-8</w:t>
      </w:r>
      <w:r>
        <w:t>.</w:t>
      </w:r>
    </w:p>
    <w:p w14:paraId="2DED2D4B" w14:textId="65A9A7C8" w:rsidR="00E76155" w:rsidRDefault="002076DF" w:rsidP="00371EBC">
      <w:pPr>
        <w:spacing w:line="480" w:lineRule="auto"/>
        <w:jc w:val="both"/>
      </w:pPr>
      <w:r w:rsidRPr="002076DF">
        <w:t xml:space="preserve"> </w:t>
      </w:r>
      <w:r w:rsidR="00E76155">
        <w:t xml:space="preserve">17. Inman RD, Davis J, van der </w:t>
      </w:r>
      <w:proofErr w:type="spellStart"/>
      <w:r w:rsidR="00E76155">
        <w:t>Heijde</w:t>
      </w:r>
      <w:proofErr w:type="spellEnd"/>
      <w:r w:rsidR="00E76155">
        <w:t xml:space="preserve"> D,</w:t>
      </w:r>
      <w:r w:rsidR="00E76155" w:rsidRPr="00E76155">
        <w:t xml:space="preserve"> et al. Efficacy and safety of </w:t>
      </w:r>
      <w:proofErr w:type="spellStart"/>
      <w:r w:rsidR="00E76155" w:rsidRPr="00E76155">
        <w:t>golimumab</w:t>
      </w:r>
      <w:proofErr w:type="spellEnd"/>
      <w:r w:rsidR="00E76155" w:rsidRPr="00E76155">
        <w:t xml:space="preserve"> in patients with </w:t>
      </w:r>
      <w:proofErr w:type="spellStart"/>
      <w:r w:rsidR="00E76155" w:rsidRPr="00E76155">
        <w:t>ankylosing</w:t>
      </w:r>
      <w:proofErr w:type="spellEnd"/>
      <w:r w:rsidR="00E76155" w:rsidRPr="00E76155">
        <w:t xml:space="preserve"> spondylitis: results of a randomized, double-blind, placebo-controlled, phase III trial. Arthritis Rheum </w:t>
      </w:r>
      <w:r w:rsidR="00E76155">
        <w:t>2008</w:t>
      </w:r>
      <w:proofErr w:type="gramStart"/>
      <w:r w:rsidR="00E76155">
        <w:t>;</w:t>
      </w:r>
      <w:r w:rsidR="00E76155" w:rsidRPr="00E76155">
        <w:t>58</w:t>
      </w:r>
      <w:r w:rsidR="00E76155">
        <w:t>:</w:t>
      </w:r>
      <w:r w:rsidR="00E76155" w:rsidRPr="00E76155">
        <w:t>3402</w:t>
      </w:r>
      <w:proofErr w:type="gramEnd"/>
      <w:r w:rsidR="00E76155" w:rsidRPr="00E76155">
        <w:t>-12.</w:t>
      </w:r>
    </w:p>
    <w:p w14:paraId="42C454E0" w14:textId="3EA3DC18" w:rsidR="002076DF" w:rsidRDefault="00E76155" w:rsidP="00371EBC">
      <w:pPr>
        <w:spacing w:line="480" w:lineRule="auto"/>
        <w:jc w:val="both"/>
      </w:pPr>
      <w:r>
        <w:t xml:space="preserve">18. </w:t>
      </w:r>
      <w:proofErr w:type="spellStart"/>
      <w:r w:rsidR="002076DF" w:rsidRPr="002076DF">
        <w:t>Kalyoncu</w:t>
      </w:r>
      <w:proofErr w:type="spellEnd"/>
      <w:r w:rsidR="002076DF" w:rsidRPr="002076DF">
        <w:t xml:space="preserve"> U, </w:t>
      </w:r>
      <w:proofErr w:type="spellStart"/>
      <w:r w:rsidR="002076DF" w:rsidRPr="002076DF">
        <w:t>Babaoglu</w:t>
      </w:r>
      <w:proofErr w:type="spellEnd"/>
      <w:r w:rsidR="002076DF" w:rsidRPr="002076DF">
        <w:t xml:space="preserve"> H, </w:t>
      </w:r>
      <w:proofErr w:type="spellStart"/>
      <w:r w:rsidR="002076DF" w:rsidRPr="002076DF">
        <w:t>Erden</w:t>
      </w:r>
      <w:proofErr w:type="spellEnd"/>
      <w:r w:rsidR="002076DF" w:rsidRPr="002076DF">
        <w:t xml:space="preserve"> A, et al. Anti-TNF alpha drugs retention rate at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 and axial </w:t>
      </w:r>
      <w:proofErr w:type="spellStart"/>
      <w:r w:rsidR="002076DF" w:rsidRPr="002076DF">
        <w:t>spondyloarthritis</w:t>
      </w:r>
      <w:proofErr w:type="spellEnd"/>
      <w:r w:rsidR="002076DF" w:rsidRPr="002076DF">
        <w:t>: HUR-BIO real life results. Ann</w:t>
      </w:r>
      <w:r>
        <w:t xml:space="preserve"> Rheum Dis</w:t>
      </w:r>
      <w:r w:rsidR="002076DF" w:rsidRPr="002076DF">
        <w:t xml:space="preserve"> 2015</w:t>
      </w:r>
      <w:proofErr w:type="gramStart"/>
      <w:r w:rsidR="002076DF" w:rsidRPr="002076DF">
        <w:t>;74</w:t>
      </w:r>
      <w:r>
        <w:t>:</w:t>
      </w:r>
      <w:r w:rsidR="002076DF" w:rsidRPr="002076DF">
        <w:t>279</w:t>
      </w:r>
      <w:proofErr w:type="gramEnd"/>
      <w:r w:rsidR="002076DF" w:rsidRPr="002076DF">
        <w:t>-80.</w:t>
      </w:r>
      <w:bookmarkEnd w:id="14"/>
    </w:p>
    <w:p w14:paraId="72B67A2A" w14:textId="41DF8736" w:rsidR="00DD0484" w:rsidRPr="002076DF" w:rsidRDefault="00DD0484" w:rsidP="00371EBC">
      <w:pPr>
        <w:spacing w:line="480" w:lineRule="auto"/>
        <w:jc w:val="both"/>
      </w:pPr>
      <w:r>
        <w:t xml:space="preserve">19. </w:t>
      </w:r>
      <w:proofErr w:type="spellStart"/>
      <w:r>
        <w:t>Landewe</w:t>
      </w:r>
      <w:proofErr w:type="spellEnd"/>
      <w:r>
        <w:t xml:space="preserve"> R, Braun J, </w:t>
      </w:r>
      <w:proofErr w:type="spellStart"/>
      <w:r>
        <w:t>Deodhar</w:t>
      </w:r>
      <w:proofErr w:type="spellEnd"/>
      <w:r>
        <w:t xml:space="preserve"> A,</w:t>
      </w:r>
      <w:r w:rsidRPr="00DD0484">
        <w:t xml:space="preserve"> et al. Efficacy of </w:t>
      </w:r>
      <w:proofErr w:type="spellStart"/>
      <w:r w:rsidRPr="00DD0484">
        <w:t>certolizumab</w:t>
      </w:r>
      <w:proofErr w:type="spellEnd"/>
      <w:r w:rsidRPr="00DD0484">
        <w:t xml:space="preserve"> </w:t>
      </w:r>
      <w:proofErr w:type="spellStart"/>
      <w:r w:rsidRPr="00DD0484">
        <w:t>pegol</w:t>
      </w:r>
      <w:proofErr w:type="spellEnd"/>
      <w:r w:rsidRPr="00DD0484">
        <w:t xml:space="preserve"> on signs and symptoms of axial </w:t>
      </w:r>
      <w:proofErr w:type="spellStart"/>
      <w:r w:rsidRPr="00DD0484">
        <w:t>spondyloarthritis</w:t>
      </w:r>
      <w:proofErr w:type="spellEnd"/>
      <w:r w:rsidRPr="00DD0484">
        <w:t xml:space="preserve"> including </w:t>
      </w:r>
      <w:proofErr w:type="spellStart"/>
      <w:r w:rsidRPr="00DD0484">
        <w:t>ankylosing</w:t>
      </w:r>
      <w:proofErr w:type="spellEnd"/>
      <w:r w:rsidRPr="00DD0484">
        <w:t xml:space="preserve"> spondylitis: 24-week results of a double-blind randomised placebo-controlled Phase 3 study. Ann Rheum Dis </w:t>
      </w:r>
      <w:r>
        <w:t>2014</w:t>
      </w:r>
      <w:proofErr w:type="gramStart"/>
      <w:r>
        <w:t>;73:</w:t>
      </w:r>
      <w:r w:rsidRPr="00DD0484">
        <w:t>39</w:t>
      </w:r>
      <w:proofErr w:type="gramEnd"/>
      <w:r w:rsidRPr="00DD0484">
        <w:t>-47.</w:t>
      </w:r>
    </w:p>
    <w:p w14:paraId="00F8DD16" w14:textId="61BF9378" w:rsidR="002076DF" w:rsidRPr="002076DF" w:rsidRDefault="005203FC" w:rsidP="00371EBC">
      <w:pPr>
        <w:spacing w:line="480" w:lineRule="auto"/>
        <w:jc w:val="both"/>
      </w:pPr>
      <w:bookmarkStart w:id="15" w:name="_ENREF_41"/>
      <w:r>
        <w:t>20</w:t>
      </w:r>
      <w:r w:rsidR="002076DF" w:rsidRPr="002076DF">
        <w:t xml:space="preserve">. </w:t>
      </w:r>
      <w:proofErr w:type="spellStart"/>
      <w:r w:rsidR="002076DF" w:rsidRPr="002076DF">
        <w:t>Lekpa</w:t>
      </w:r>
      <w:proofErr w:type="spellEnd"/>
      <w:r w:rsidR="002076DF" w:rsidRPr="002076DF">
        <w:t xml:space="preserve"> FK, </w:t>
      </w:r>
      <w:proofErr w:type="spellStart"/>
      <w:r w:rsidR="002076DF" w:rsidRPr="002076DF">
        <w:t>Farrenq</w:t>
      </w:r>
      <w:proofErr w:type="spellEnd"/>
      <w:r w:rsidR="002076DF" w:rsidRPr="002076DF">
        <w:t xml:space="preserve"> V, </w:t>
      </w:r>
      <w:proofErr w:type="spellStart"/>
      <w:r w:rsidR="002076DF" w:rsidRPr="002076DF">
        <w:t>Canoui-Poitrine</w:t>
      </w:r>
      <w:proofErr w:type="spellEnd"/>
      <w:r w:rsidR="002076DF" w:rsidRPr="002076DF">
        <w:t xml:space="preserve"> F, et al. Lack of efficacy of </w:t>
      </w:r>
      <w:proofErr w:type="spellStart"/>
      <w:r w:rsidR="002076DF" w:rsidRPr="002076DF">
        <w:t>abatacept</w:t>
      </w:r>
      <w:proofErr w:type="spellEnd"/>
      <w:r w:rsidR="002076DF" w:rsidRPr="002076DF">
        <w:t xml:space="preserve"> in axial </w:t>
      </w:r>
      <w:proofErr w:type="spellStart"/>
      <w:r w:rsidR="002076DF" w:rsidRPr="002076DF">
        <w:t>spondylarthropathies</w:t>
      </w:r>
      <w:proofErr w:type="spellEnd"/>
      <w:r w:rsidR="002076DF" w:rsidRPr="002076DF">
        <w:t xml:space="preserve"> refractory to </w:t>
      </w:r>
      <w:proofErr w:type="spellStart"/>
      <w:r w:rsidR="002076DF" w:rsidRPr="002076DF">
        <w:t>tumor</w:t>
      </w:r>
      <w:proofErr w:type="spellEnd"/>
      <w:r w:rsidR="002076DF" w:rsidRPr="002076DF">
        <w:t>-necrosis-factor inhibition. Joint Bone Spine 2012</w:t>
      </w:r>
      <w:proofErr w:type="gramStart"/>
      <w:r w:rsidR="002076DF" w:rsidRPr="002076DF">
        <w:t>;79</w:t>
      </w:r>
      <w:proofErr w:type="gramEnd"/>
      <w:r w:rsidR="002076DF" w:rsidRPr="002076DF">
        <w:t>(1):47-50.</w:t>
      </w:r>
      <w:bookmarkEnd w:id="15"/>
    </w:p>
    <w:p w14:paraId="664641F2" w14:textId="6730655A" w:rsidR="002076DF" w:rsidRPr="002076DF" w:rsidRDefault="005203FC" w:rsidP="00371EBC">
      <w:pPr>
        <w:spacing w:line="480" w:lineRule="auto"/>
        <w:jc w:val="both"/>
      </w:pPr>
      <w:bookmarkStart w:id="16" w:name="_ENREF_42"/>
      <w:r>
        <w:t>21</w:t>
      </w:r>
      <w:r w:rsidR="002076DF" w:rsidRPr="002076DF">
        <w:t xml:space="preserve">. </w:t>
      </w:r>
      <w:proofErr w:type="spellStart"/>
      <w:r w:rsidR="002076DF" w:rsidRPr="002076DF">
        <w:t>Lekpa</w:t>
      </w:r>
      <w:proofErr w:type="spellEnd"/>
      <w:r w:rsidR="002076DF" w:rsidRPr="002076DF">
        <w:t xml:space="preserve"> FK, </w:t>
      </w:r>
      <w:proofErr w:type="spellStart"/>
      <w:r w:rsidR="002076DF" w:rsidRPr="002076DF">
        <w:t>Poulain</w:t>
      </w:r>
      <w:proofErr w:type="spellEnd"/>
      <w:r w:rsidR="002076DF" w:rsidRPr="002076DF">
        <w:t xml:space="preserve"> C, </w:t>
      </w:r>
      <w:proofErr w:type="spellStart"/>
      <w:r w:rsidR="002076DF" w:rsidRPr="002076DF">
        <w:t>Wendling</w:t>
      </w:r>
      <w:proofErr w:type="spellEnd"/>
      <w:r w:rsidR="002076DF" w:rsidRPr="002076DF">
        <w:t xml:space="preserve"> D, et al. Is IL-6 an appropriate target to treat </w:t>
      </w:r>
      <w:proofErr w:type="spellStart"/>
      <w:r w:rsidR="002076DF" w:rsidRPr="002076DF">
        <w:t>spondyloarthritis</w:t>
      </w:r>
      <w:proofErr w:type="spellEnd"/>
      <w:r w:rsidR="002076DF" w:rsidRPr="002076DF">
        <w:t xml:space="preserve"> patients refractory to anti-TNF therapy? </w:t>
      </w:r>
      <w:proofErr w:type="gramStart"/>
      <w:r w:rsidR="002076DF" w:rsidRPr="002076DF">
        <w:t>A multicentre retrospective observational study.</w:t>
      </w:r>
      <w:proofErr w:type="gramEnd"/>
      <w:r w:rsidR="002076DF" w:rsidRPr="002076DF">
        <w:t xml:space="preserve"> Arthritis Res </w:t>
      </w:r>
      <w:proofErr w:type="spellStart"/>
      <w:r w:rsidR="002076DF" w:rsidRPr="002076DF">
        <w:t>Ther</w:t>
      </w:r>
      <w:proofErr w:type="spellEnd"/>
      <w:r w:rsidR="002076DF" w:rsidRPr="002076DF">
        <w:t xml:space="preserve"> 2012</w:t>
      </w:r>
      <w:proofErr w:type="gramStart"/>
      <w:r w:rsidR="002076DF" w:rsidRPr="002076DF">
        <w:t>;14</w:t>
      </w:r>
      <w:proofErr w:type="gramEnd"/>
      <w:r w:rsidR="002076DF" w:rsidRPr="002076DF">
        <w:t>(2):R53.</w:t>
      </w:r>
      <w:bookmarkEnd w:id="16"/>
    </w:p>
    <w:p w14:paraId="305CE085" w14:textId="7BF7AB89" w:rsidR="002076DF" w:rsidRPr="002076DF" w:rsidRDefault="005203FC" w:rsidP="00371EBC">
      <w:pPr>
        <w:spacing w:line="480" w:lineRule="auto"/>
        <w:jc w:val="both"/>
      </w:pPr>
      <w:bookmarkStart w:id="17" w:name="_ENREF_43"/>
      <w:r>
        <w:t>22</w:t>
      </w:r>
      <w:r w:rsidR="002076DF" w:rsidRPr="002076DF">
        <w:t xml:space="preserve">. Park W, </w:t>
      </w:r>
      <w:proofErr w:type="spellStart"/>
      <w:r w:rsidR="002076DF" w:rsidRPr="002076DF">
        <w:t>Hrycaj</w:t>
      </w:r>
      <w:proofErr w:type="spellEnd"/>
      <w:r w:rsidR="002076DF" w:rsidRPr="002076DF">
        <w:t xml:space="preserve"> P, </w:t>
      </w:r>
      <w:proofErr w:type="spellStart"/>
      <w:r w:rsidR="002076DF" w:rsidRPr="002076DF">
        <w:t>Jeka</w:t>
      </w:r>
      <w:proofErr w:type="spellEnd"/>
      <w:r w:rsidR="002076DF" w:rsidRPr="002076DF">
        <w:t xml:space="preserve"> S, et al. A randomised, double-blind, multicentre, parallel-group, prospective study comparing the pharmacokinetics, safety, and efficacy of CT-P13 and innovator infliximab in patients with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spondylitis: the PLANETAS study. Ann Rheum Dis 2013</w:t>
      </w:r>
      <w:proofErr w:type="gramStart"/>
      <w:r w:rsidR="002076DF" w:rsidRPr="002076DF">
        <w:t>;72</w:t>
      </w:r>
      <w:proofErr w:type="gramEnd"/>
      <w:r w:rsidR="002076DF" w:rsidRPr="002076DF">
        <w:t>(10):1605-12.</w:t>
      </w:r>
      <w:bookmarkEnd w:id="17"/>
    </w:p>
    <w:p w14:paraId="761E1A11" w14:textId="32864292" w:rsidR="002076DF" w:rsidRPr="002076DF" w:rsidRDefault="005203FC" w:rsidP="00371EBC">
      <w:pPr>
        <w:spacing w:line="480" w:lineRule="auto"/>
        <w:jc w:val="both"/>
      </w:pPr>
      <w:bookmarkStart w:id="18" w:name="_ENREF_44"/>
      <w:r>
        <w:t>23</w:t>
      </w:r>
      <w:r w:rsidR="002076DF" w:rsidRPr="002076DF">
        <w:t xml:space="preserve">. </w:t>
      </w:r>
      <w:proofErr w:type="spellStart"/>
      <w:r w:rsidR="002076DF" w:rsidRPr="002076DF">
        <w:t>Pathan</w:t>
      </w:r>
      <w:proofErr w:type="spellEnd"/>
      <w:r w:rsidR="002076DF" w:rsidRPr="002076DF">
        <w:t xml:space="preserve"> E, Abraham S, Van </w:t>
      </w:r>
      <w:proofErr w:type="spellStart"/>
      <w:r w:rsidR="002076DF" w:rsidRPr="002076DF">
        <w:t>Rossen</w:t>
      </w:r>
      <w:proofErr w:type="spellEnd"/>
      <w:r w:rsidR="002076DF" w:rsidRPr="002076DF">
        <w:t xml:space="preserve"> E, et al. Efficacy and safety of </w:t>
      </w:r>
      <w:proofErr w:type="spellStart"/>
      <w:r w:rsidR="002076DF" w:rsidRPr="002076DF">
        <w:t>apremilast</w:t>
      </w:r>
      <w:proofErr w:type="spellEnd"/>
      <w:r w:rsidR="002076DF" w:rsidRPr="002076DF">
        <w:t xml:space="preserve">, an oral </w:t>
      </w:r>
      <w:proofErr w:type="spellStart"/>
      <w:r w:rsidR="002076DF" w:rsidRPr="002076DF">
        <w:t>phosphodiesterase</w:t>
      </w:r>
      <w:proofErr w:type="spellEnd"/>
      <w:r w:rsidR="002076DF" w:rsidRPr="002076DF">
        <w:t xml:space="preserve"> 4 inhibitor, in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spondylitis. Ann Rheum Dis 2013</w:t>
      </w:r>
      <w:proofErr w:type="gramStart"/>
      <w:r w:rsidR="002076DF" w:rsidRPr="002076DF">
        <w:t>;72</w:t>
      </w:r>
      <w:proofErr w:type="gramEnd"/>
      <w:r w:rsidR="002076DF" w:rsidRPr="002076DF">
        <w:t>(9):1475-80.</w:t>
      </w:r>
      <w:bookmarkEnd w:id="18"/>
    </w:p>
    <w:p w14:paraId="7BDAF083" w14:textId="233BF390" w:rsidR="002076DF" w:rsidRPr="002076DF" w:rsidRDefault="005203FC" w:rsidP="00371EBC">
      <w:pPr>
        <w:spacing w:line="480" w:lineRule="auto"/>
        <w:jc w:val="both"/>
      </w:pPr>
      <w:bookmarkStart w:id="19" w:name="_ENREF_45"/>
      <w:r>
        <w:t>24</w:t>
      </w:r>
      <w:r w:rsidR="002076DF" w:rsidRPr="002076DF">
        <w:t xml:space="preserve">. </w:t>
      </w:r>
      <w:proofErr w:type="spellStart"/>
      <w:r w:rsidR="002076DF" w:rsidRPr="002076DF">
        <w:t>Plasencia</w:t>
      </w:r>
      <w:proofErr w:type="spellEnd"/>
      <w:r w:rsidR="002076DF" w:rsidRPr="002076DF">
        <w:t xml:space="preserve"> C, </w:t>
      </w:r>
      <w:proofErr w:type="spellStart"/>
      <w:r w:rsidR="002076DF" w:rsidRPr="002076DF">
        <w:t>Pascual-Salcedo</w:t>
      </w:r>
      <w:proofErr w:type="spellEnd"/>
      <w:r w:rsidR="002076DF" w:rsidRPr="002076DF">
        <w:t xml:space="preserve"> D, Garcia-Carazo S, et al. The immunogenicity to the first anti-TNF therapy determines the outcome of switching to a second anti-TNF therapy in </w:t>
      </w:r>
      <w:proofErr w:type="spellStart"/>
      <w:r w:rsidR="002076DF" w:rsidRPr="002076DF">
        <w:t>spondyloarthritis</w:t>
      </w:r>
      <w:proofErr w:type="spellEnd"/>
      <w:r w:rsidR="002076DF" w:rsidRPr="002076DF">
        <w:t xml:space="preserve"> patients. Arthritis Res </w:t>
      </w:r>
      <w:proofErr w:type="spellStart"/>
      <w:r w:rsidR="002076DF" w:rsidRPr="002076DF">
        <w:t>Ther</w:t>
      </w:r>
      <w:proofErr w:type="spellEnd"/>
      <w:r w:rsidR="002076DF" w:rsidRPr="002076DF">
        <w:t xml:space="preserve"> 2013</w:t>
      </w:r>
      <w:proofErr w:type="gramStart"/>
      <w:r w:rsidR="002076DF" w:rsidRPr="002076DF">
        <w:t>;15</w:t>
      </w:r>
      <w:proofErr w:type="gramEnd"/>
      <w:r w:rsidR="002076DF" w:rsidRPr="002076DF">
        <w:t>(4):R79.</w:t>
      </w:r>
      <w:bookmarkEnd w:id="19"/>
    </w:p>
    <w:p w14:paraId="1949D8FD" w14:textId="4A87202E" w:rsidR="002076DF" w:rsidRPr="002076DF" w:rsidRDefault="005203FC" w:rsidP="00371EBC">
      <w:pPr>
        <w:spacing w:line="480" w:lineRule="auto"/>
        <w:jc w:val="both"/>
      </w:pPr>
      <w:bookmarkStart w:id="20" w:name="_ENREF_46"/>
      <w:r>
        <w:t>25</w:t>
      </w:r>
      <w:r w:rsidR="002076DF" w:rsidRPr="002076DF">
        <w:t xml:space="preserve">. </w:t>
      </w:r>
      <w:proofErr w:type="spellStart"/>
      <w:r w:rsidR="002076DF" w:rsidRPr="002076DF">
        <w:t>Poddubnyy</w:t>
      </w:r>
      <w:proofErr w:type="spellEnd"/>
      <w:r w:rsidR="002076DF" w:rsidRPr="002076DF">
        <w:t xml:space="preserve"> D, </w:t>
      </w:r>
      <w:proofErr w:type="spellStart"/>
      <w:r w:rsidR="002076DF" w:rsidRPr="002076DF">
        <w:t>Callhoff</w:t>
      </w:r>
      <w:proofErr w:type="spellEnd"/>
      <w:r w:rsidR="002076DF" w:rsidRPr="002076DF">
        <w:t xml:space="preserve"> J, Listing J, et al. </w:t>
      </w:r>
      <w:proofErr w:type="spellStart"/>
      <w:r w:rsidR="002076DF" w:rsidRPr="002076DF">
        <w:t>Ustekinumab</w:t>
      </w:r>
      <w:proofErr w:type="spellEnd"/>
      <w:r w:rsidR="002076DF" w:rsidRPr="002076DF">
        <w:t xml:space="preserve"> for the treatment of patients with active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spondylitis: Results of a 28-week, prospective, open-label, proof-of-concept study (</w:t>
      </w:r>
      <w:proofErr w:type="spellStart"/>
      <w:r w:rsidR="002076DF" w:rsidRPr="002076DF">
        <w:t>Topas</w:t>
      </w:r>
      <w:proofErr w:type="spellEnd"/>
      <w:r w:rsidR="002076DF" w:rsidRPr="002076DF">
        <w:t>). Arthritis and Rheumatism 2013</w:t>
      </w:r>
      <w:proofErr w:type="gramStart"/>
      <w:r w:rsidR="002076DF" w:rsidRPr="002076DF">
        <w:t>;65S766</w:t>
      </w:r>
      <w:proofErr w:type="gramEnd"/>
      <w:r w:rsidR="002076DF" w:rsidRPr="002076DF">
        <w:t>.</w:t>
      </w:r>
      <w:bookmarkEnd w:id="20"/>
    </w:p>
    <w:p w14:paraId="41161E14" w14:textId="04938BE9" w:rsidR="002076DF" w:rsidRPr="002076DF" w:rsidRDefault="005203FC" w:rsidP="00371EBC">
      <w:pPr>
        <w:spacing w:line="480" w:lineRule="auto"/>
        <w:jc w:val="both"/>
      </w:pPr>
      <w:bookmarkStart w:id="21" w:name="_ENREF_47"/>
      <w:r>
        <w:t>26</w:t>
      </w:r>
      <w:r w:rsidR="002076DF" w:rsidRPr="002076DF">
        <w:t xml:space="preserve">. </w:t>
      </w:r>
      <w:proofErr w:type="spellStart"/>
      <w:r w:rsidR="002076DF" w:rsidRPr="002076DF">
        <w:t>Rahman</w:t>
      </w:r>
      <w:proofErr w:type="spellEnd"/>
      <w:r w:rsidR="002076DF" w:rsidRPr="002076DF">
        <w:t xml:space="preserve"> P, </w:t>
      </w:r>
      <w:proofErr w:type="spellStart"/>
      <w:r w:rsidR="002076DF" w:rsidRPr="002076DF">
        <w:t>Choquette</w:t>
      </w:r>
      <w:proofErr w:type="spellEnd"/>
      <w:r w:rsidR="002076DF" w:rsidRPr="002076DF">
        <w:t xml:space="preserve"> D, </w:t>
      </w:r>
      <w:proofErr w:type="spellStart"/>
      <w:r w:rsidR="002076DF" w:rsidRPr="002076DF">
        <w:t>Bensen</w:t>
      </w:r>
      <w:proofErr w:type="spellEnd"/>
      <w:r w:rsidR="002076DF" w:rsidRPr="002076DF">
        <w:t xml:space="preserve"> WG, et al. Biologic Treatment Registry Across Canada (</w:t>
      </w:r>
      <w:proofErr w:type="spellStart"/>
      <w:r w:rsidR="002076DF" w:rsidRPr="002076DF">
        <w:t>BioTRAC</w:t>
      </w:r>
      <w:proofErr w:type="spellEnd"/>
      <w:r w:rsidR="002076DF" w:rsidRPr="002076DF">
        <w:t xml:space="preserve">): a multicentre, prospective, observational study of patients treated with infliximab for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spondylitis. BMJ Open 2016</w:t>
      </w:r>
      <w:proofErr w:type="gramStart"/>
      <w:r w:rsidR="002076DF" w:rsidRPr="002076DF">
        <w:t>;6</w:t>
      </w:r>
      <w:proofErr w:type="gramEnd"/>
      <w:r w:rsidR="002076DF" w:rsidRPr="002076DF">
        <w:t>(4):e009661.</w:t>
      </w:r>
      <w:bookmarkEnd w:id="21"/>
    </w:p>
    <w:p w14:paraId="088CB9A3" w14:textId="46042E8C" w:rsidR="002076DF" w:rsidRPr="002076DF" w:rsidRDefault="005203FC" w:rsidP="00371EBC">
      <w:pPr>
        <w:spacing w:line="480" w:lineRule="auto"/>
        <w:jc w:val="both"/>
      </w:pPr>
      <w:bookmarkStart w:id="22" w:name="_ENREF_48"/>
      <w:r>
        <w:t>27</w:t>
      </w:r>
      <w:r w:rsidR="002076DF" w:rsidRPr="002076DF">
        <w:t xml:space="preserve">. </w:t>
      </w:r>
      <w:proofErr w:type="spellStart"/>
      <w:r w:rsidR="002076DF" w:rsidRPr="002076DF">
        <w:t>Ruwaard</w:t>
      </w:r>
      <w:proofErr w:type="spellEnd"/>
      <w:r w:rsidR="002076DF" w:rsidRPr="002076DF">
        <w:t xml:space="preserve"> J, </w:t>
      </w:r>
      <w:proofErr w:type="spellStart"/>
      <w:r w:rsidR="002076DF" w:rsidRPr="002076DF">
        <w:t>Kneepkens</w:t>
      </w:r>
      <w:proofErr w:type="spellEnd"/>
      <w:r w:rsidR="002076DF" w:rsidRPr="002076DF">
        <w:t xml:space="preserve"> E, </w:t>
      </w:r>
      <w:proofErr w:type="spellStart"/>
      <w:r w:rsidR="002076DF" w:rsidRPr="002076DF">
        <w:t>Marsman</w:t>
      </w:r>
      <w:proofErr w:type="spellEnd"/>
      <w:r w:rsidR="002076DF" w:rsidRPr="002076DF">
        <w:t xml:space="preserve"> A, et al. Efficacy of switching </w:t>
      </w:r>
      <w:proofErr w:type="spellStart"/>
      <w:r w:rsidR="002076DF" w:rsidRPr="002076DF">
        <w:t>tumor</w:t>
      </w:r>
      <w:proofErr w:type="spellEnd"/>
      <w:r w:rsidR="002076DF" w:rsidRPr="002076DF">
        <w:t xml:space="preserve"> necrosis factor α inhibitor to a second </w:t>
      </w:r>
      <w:proofErr w:type="spellStart"/>
      <w:r w:rsidR="002076DF" w:rsidRPr="002076DF">
        <w:t>tumor</w:t>
      </w:r>
      <w:proofErr w:type="spellEnd"/>
      <w:r w:rsidR="002076DF" w:rsidRPr="002076DF">
        <w:t xml:space="preserve"> necrosis factor α inhibitor and the influence of drug levels and anti-drug antibodies in patients with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 and psoriatic arthritis. Annals of the Rheumatic Diseases 2015</w:t>
      </w:r>
      <w:proofErr w:type="gramStart"/>
      <w:r w:rsidR="002076DF" w:rsidRPr="002076DF">
        <w:t>;74271</w:t>
      </w:r>
      <w:proofErr w:type="gramEnd"/>
      <w:r w:rsidR="002076DF" w:rsidRPr="002076DF">
        <w:t>.</w:t>
      </w:r>
      <w:bookmarkEnd w:id="22"/>
    </w:p>
    <w:p w14:paraId="19BA69ED" w14:textId="5DE29E4B" w:rsidR="002076DF" w:rsidRPr="002076DF" w:rsidRDefault="002076DF" w:rsidP="00371EBC">
      <w:pPr>
        <w:spacing w:line="480" w:lineRule="auto"/>
        <w:jc w:val="both"/>
      </w:pPr>
      <w:bookmarkStart w:id="23" w:name="_ENREF_49"/>
      <w:r>
        <w:t>2</w:t>
      </w:r>
      <w:r w:rsidR="005203FC">
        <w:t>8</w:t>
      </w:r>
      <w:r w:rsidRPr="002076DF">
        <w:t xml:space="preserve">. </w:t>
      </w:r>
      <w:proofErr w:type="spellStart"/>
      <w:r w:rsidRPr="002076DF">
        <w:t>Sieper</w:t>
      </w:r>
      <w:proofErr w:type="spellEnd"/>
      <w:r w:rsidRPr="002076DF">
        <w:t xml:space="preserve"> J, Porter-Brown B, Thompson L, et al. </w:t>
      </w:r>
      <w:proofErr w:type="spellStart"/>
      <w:r w:rsidRPr="002076DF">
        <w:t>Tocilizumab</w:t>
      </w:r>
      <w:proofErr w:type="spellEnd"/>
      <w:r w:rsidRPr="002076DF">
        <w:t xml:space="preserve"> (TCZ) is not effective for the treatment of </w:t>
      </w:r>
      <w:proofErr w:type="spellStart"/>
      <w:r w:rsidRPr="002076DF">
        <w:t>ankylosing</w:t>
      </w:r>
      <w:proofErr w:type="spellEnd"/>
      <w:r w:rsidRPr="002076DF">
        <w:t xml:space="preserve"> spondylitis (AS): Results of a phase 2, international, multicentre, randomised, </w:t>
      </w:r>
      <w:proofErr w:type="gramStart"/>
      <w:r w:rsidRPr="002076DF">
        <w:t>double-blind</w:t>
      </w:r>
      <w:proofErr w:type="gramEnd"/>
      <w:r w:rsidRPr="002076DF">
        <w:t>, placebo-controlled trial. Annals of the Rheumatic Disease 2013</w:t>
      </w:r>
      <w:proofErr w:type="gramStart"/>
      <w:r w:rsidRPr="002076DF">
        <w:t>;71</w:t>
      </w:r>
      <w:bookmarkEnd w:id="23"/>
      <w:proofErr w:type="gramEnd"/>
    </w:p>
    <w:p w14:paraId="1F7E560F" w14:textId="6DD72646" w:rsidR="002076DF" w:rsidRPr="002076DF" w:rsidRDefault="005203FC" w:rsidP="00371EBC">
      <w:pPr>
        <w:spacing w:line="480" w:lineRule="auto"/>
        <w:jc w:val="both"/>
      </w:pPr>
      <w:bookmarkStart w:id="24" w:name="_ENREF_50"/>
      <w:r>
        <w:t>29</w:t>
      </w:r>
      <w:r w:rsidR="002076DF" w:rsidRPr="002076DF">
        <w:t xml:space="preserve">. </w:t>
      </w:r>
      <w:proofErr w:type="spellStart"/>
      <w:r w:rsidR="002076DF" w:rsidRPr="002076DF">
        <w:t>Sieper</w:t>
      </w:r>
      <w:proofErr w:type="spellEnd"/>
      <w:r w:rsidR="002076DF" w:rsidRPr="002076DF">
        <w:t xml:space="preserve"> J, </w:t>
      </w:r>
      <w:proofErr w:type="spellStart"/>
      <w:r w:rsidR="002076DF" w:rsidRPr="002076DF">
        <w:t>Landewe</w:t>
      </w:r>
      <w:proofErr w:type="spellEnd"/>
      <w:r w:rsidR="002076DF" w:rsidRPr="002076DF">
        <w:t xml:space="preserve"> R, </w:t>
      </w:r>
      <w:proofErr w:type="spellStart"/>
      <w:r w:rsidR="002076DF" w:rsidRPr="002076DF">
        <w:t>Rudwaleit</w:t>
      </w:r>
      <w:proofErr w:type="spellEnd"/>
      <w:r w:rsidR="002076DF" w:rsidRPr="002076DF">
        <w:t xml:space="preserve"> M, et al. Effect of </w:t>
      </w:r>
      <w:proofErr w:type="spellStart"/>
      <w:r w:rsidR="002076DF" w:rsidRPr="002076DF">
        <w:t>certolizumab</w:t>
      </w:r>
      <w:proofErr w:type="spellEnd"/>
      <w:r w:rsidR="002076DF" w:rsidRPr="002076DF">
        <w:t xml:space="preserve"> </w:t>
      </w:r>
      <w:proofErr w:type="spellStart"/>
      <w:r w:rsidR="002076DF" w:rsidRPr="002076DF">
        <w:t>pegol</w:t>
      </w:r>
      <w:proofErr w:type="spellEnd"/>
      <w:r w:rsidR="002076DF" w:rsidRPr="002076DF">
        <w:t xml:space="preserve"> over ninety-six weeks in patients with axial </w:t>
      </w:r>
      <w:proofErr w:type="spellStart"/>
      <w:r w:rsidR="002076DF" w:rsidRPr="002076DF">
        <w:t>spondyloarthritis</w:t>
      </w:r>
      <w:proofErr w:type="spellEnd"/>
      <w:r w:rsidR="002076DF" w:rsidRPr="002076DF">
        <w:t xml:space="preserve">: results from a phase III randomized trial. Arthritis </w:t>
      </w:r>
      <w:proofErr w:type="spellStart"/>
      <w:r w:rsidR="002076DF" w:rsidRPr="002076DF">
        <w:t>Rheumatol</w:t>
      </w:r>
      <w:proofErr w:type="spellEnd"/>
      <w:r w:rsidR="002076DF" w:rsidRPr="002076DF">
        <w:t xml:space="preserve"> 2015</w:t>
      </w:r>
      <w:proofErr w:type="gramStart"/>
      <w:r w:rsidR="002076DF" w:rsidRPr="002076DF">
        <w:t>;67</w:t>
      </w:r>
      <w:proofErr w:type="gramEnd"/>
      <w:r w:rsidR="002076DF" w:rsidRPr="002076DF">
        <w:t>(3):668-77.</w:t>
      </w:r>
      <w:bookmarkEnd w:id="24"/>
    </w:p>
    <w:p w14:paraId="4CB83053" w14:textId="3CBFCDD7" w:rsidR="002076DF" w:rsidRPr="002076DF" w:rsidRDefault="005203FC" w:rsidP="00371EBC">
      <w:pPr>
        <w:spacing w:line="480" w:lineRule="auto"/>
        <w:jc w:val="both"/>
      </w:pPr>
      <w:bookmarkStart w:id="25" w:name="_ENREF_51"/>
      <w:r>
        <w:t>30</w:t>
      </w:r>
      <w:r w:rsidR="002076DF" w:rsidRPr="002076DF">
        <w:t xml:space="preserve">. </w:t>
      </w:r>
      <w:proofErr w:type="spellStart"/>
      <w:r w:rsidR="002076DF" w:rsidRPr="002076DF">
        <w:t>Sieper</w:t>
      </w:r>
      <w:proofErr w:type="spellEnd"/>
      <w:r w:rsidR="002076DF" w:rsidRPr="002076DF">
        <w:t xml:space="preserve"> J, </w:t>
      </w:r>
      <w:proofErr w:type="gramStart"/>
      <w:r w:rsidR="002076DF" w:rsidRPr="002076DF">
        <w:t>van</w:t>
      </w:r>
      <w:proofErr w:type="gramEnd"/>
      <w:r w:rsidR="002076DF" w:rsidRPr="002076DF">
        <w:t xml:space="preserve"> der </w:t>
      </w:r>
      <w:proofErr w:type="spellStart"/>
      <w:r w:rsidR="002076DF" w:rsidRPr="002076DF">
        <w:t>Heijde</w:t>
      </w:r>
      <w:proofErr w:type="spellEnd"/>
      <w:r w:rsidR="002076DF" w:rsidRPr="002076DF">
        <w:t xml:space="preserve"> D, </w:t>
      </w:r>
      <w:proofErr w:type="spellStart"/>
      <w:r w:rsidR="002076DF" w:rsidRPr="002076DF">
        <w:t>Dougados</w:t>
      </w:r>
      <w:proofErr w:type="spellEnd"/>
      <w:r w:rsidR="002076DF" w:rsidRPr="002076DF">
        <w:t xml:space="preserve"> M, et al. A randomized, </w:t>
      </w:r>
      <w:proofErr w:type="gramStart"/>
      <w:r w:rsidR="002076DF" w:rsidRPr="002076DF">
        <w:t>double-blind</w:t>
      </w:r>
      <w:proofErr w:type="gramEnd"/>
      <w:r w:rsidR="002076DF" w:rsidRPr="002076DF">
        <w:t xml:space="preserve">, placebo-controlled, sixteen-week study of subcutaneous </w:t>
      </w:r>
      <w:proofErr w:type="spellStart"/>
      <w:r w:rsidR="002076DF" w:rsidRPr="002076DF">
        <w:t>golimumab</w:t>
      </w:r>
      <w:proofErr w:type="spellEnd"/>
      <w:r w:rsidR="002076DF" w:rsidRPr="002076DF">
        <w:t xml:space="preserve"> in patients with active </w:t>
      </w:r>
      <w:proofErr w:type="spellStart"/>
      <w:r w:rsidR="002076DF" w:rsidRPr="002076DF">
        <w:t>nonradiographic</w:t>
      </w:r>
      <w:proofErr w:type="spellEnd"/>
      <w:r w:rsidR="002076DF" w:rsidRPr="002076DF">
        <w:t xml:space="preserve"> axial </w:t>
      </w:r>
      <w:proofErr w:type="spellStart"/>
      <w:r w:rsidR="002076DF" w:rsidRPr="002076DF">
        <w:t>spondyloarthritis</w:t>
      </w:r>
      <w:proofErr w:type="spellEnd"/>
      <w:r w:rsidR="002076DF" w:rsidRPr="002076DF">
        <w:t xml:space="preserve">. Arthritis </w:t>
      </w:r>
      <w:proofErr w:type="spellStart"/>
      <w:r w:rsidR="002076DF" w:rsidRPr="002076DF">
        <w:t>Rheumatol</w:t>
      </w:r>
      <w:proofErr w:type="spellEnd"/>
      <w:r w:rsidR="002076DF" w:rsidRPr="002076DF">
        <w:t xml:space="preserve"> 2015</w:t>
      </w:r>
      <w:proofErr w:type="gramStart"/>
      <w:r w:rsidR="002076DF" w:rsidRPr="002076DF">
        <w:t>;67</w:t>
      </w:r>
      <w:proofErr w:type="gramEnd"/>
      <w:r w:rsidR="002076DF" w:rsidRPr="002076DF">
        <w:t>(10):2702-12.</w:t>
      </w:r>
      <w:bookmarkEnd w:id="25"/>
    </w:p>
    <w:p w14:paraId="5122C6CE" w14:textId="6C3AC9BF" w:rsidR="002076DF" w:rsidRPr="002076DF" w:rsidRDefault="005203FC" w:rsidP="00371EBC">
      <w:pPr>
        <w:spacing w:line="480" w:lineRule="auto"/>
        <w:jc w:val="both"/>
      </w:pPr>
      <w:bookmarkStart w:id="26" w:name="_ENREF_52"/>
      <w:r>
        <w:t>31</w:t>
      </w:r>
      <w:r w:rsidR="002076DF" w:rsidRPr="002076DF">
        <w:t xml:space="preserve">. </w:t>
      </w:r>
      <w:proofErr w:type="spellStart"/>
      <w:r w:rsidR="002076DF" w:rsidRPr="002076DF">
        <w:t>Sieper</w:t>
      </w:r>
      <w:proofErr w:type="spellEnd"/>
      <w:r w:rsidR="002076DF" w:rsidRPr="002076DF">
        <w:t xml:space="preserve"> J, </w:t>
      </w:r>
      <w:proofErr w:type="spellStart"/>
      <w:r w:rsidR="002076DF" w:rsidRPr="002076DF">
        <w:t>Deodhar</w:t>
      </w:r>
      <w:proofErr w:type="spellEnd"/>
      <w:r w:rsidR="002076DF" w:rsidRPr="002076DF">
        <w:t xml:space="preserve"> A, </w:t>
      </w:r>
      <w:proofErr w:type="spellStart"/>
      <w:r w:rsidR="002076DF" w:rsidRPr="002076DF">
        <w:t>Marzo</w:t>
      </w:r>
      <w:proofErr w:type="spellEnd"/>
      <w:r w:rsidR="002076DF" w:rsidRPr="002076DF">
        <w:t xml:space="preserve">-Ortega H, et al. </w:t>
      </w:r>
      <w:proofErr w:type="spellStart"/>
      <w:r w:rsidR="002076DF" w:rsidRPr="002076DF">
        <w:t>Secukinumab</w:t>
      </w:r>
      <w:proofErr w:type="spellEnd"/>
      <w:r w:rsidR="002076DF" w:rsidRPr="002076DF">
        <w:t xml:space="preserve"> efficacy in anti-TNF-naive and anti-TNF-experienced subjects with active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spondylitis: results from the MEASURE 2 Study. Ann Rheum Dis 2017</w:t>
      </w:r>
      <w:proofErr w:type="gramStart"/>
      <w:r w:rsidR="002076DF" w:rsidRPr="002076DF">
        <w:t>;76</w:t>
      </w:r>
      <w:proofErr w:type="gramEnd"/>
      <w:r w:rsidR="002076DF" w:rsidRPr="002076DF">
        <w:t>(3):571-92.</w:t>
      </w:r>
      <w:bookmarkEnd w:id="26"/>
    </w:p>
    <w:p w14:paraId="3E31A0D5" w14:textId="7B808805" w:rsidR="002076DF" w:rsidRPr="002076DF" w:rsidRDefault="005203FC" w:rsidP="00371EBC">
      <w:pPr>
        <w:spacing w:line="480" w:lineRule="auto"/>
        <w:jc w:val="both"/>
      </w:pPr>
      <w:bookmarkStart w:id="27" w:name="_ENREF_53"/>
      <w:r>
        <w:t>32</w:t>
      </w:r>
      <w:r w:rsidR="002076DF" w:rsidRPr="002076DF">
        <w:t xml:space="preserve">. Song IH, </w:t>
      </w:r>
      <w:proofErr w:type="spellStart"/>
      <w:r w:rsidR="002076DF" w:rsidRPr="002076DF">
        <w:t>Heldmann</w:t>
      </w:r>
      <w:proofErr w:type="spellEnd"/>
      <w:r w:rsidR="002076DF" w:rsidRPr="002076DF">
        <w:t xml:space="preserve"> F, </w:t>
      </w:r>
      <w:proofErr w:type="spellStart"/>
      <w:r w:rsidR="002076DF" w:rsidRPr="002076DF">
        <w:t>Rudwaleit</w:t>
      </w:r>
      <w:proofErr w:type="spellEnd"/>
      <w:r w:rsidR="002076DF" w:rsidRPr="002076DF">
        <w:t xml:space="preserve"> M, et al. Different response to rituximab in </w:t>
      </w:r>
      <w:proofErr w:type="spellStart"/>
      <w:r w:rsidR="002076DF" w:rsidRPr="002076DF">
        <w:t>tumor</w:t>
      </w:r>
      <w:proofErr w:type="spellEnd"/>
      <w:r w:rsidR="002076DF" w:rsidRPr="002076DF">
        <w:t xml:space="preserve"> necrosis factor blocker-naive patients with active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 and in patients in whom </w:t>
      </w:r>
      <w:proofErr w:type="spellStart"/>
      <w:r w:rsidR="002076DF" w:rsidRPr="002076DF">
        <w:t>tumor</w:t>
      </w:r>
      <w:proofErr w:type="spellEnd"/>
      <w:r w:rsidR="002076DF" w:rsidRPr="002076DF">
        <w:t xml:space="preserve"> necrosis factor blockers have failed: a twenty-four-week clinical trial. Arthritis Rheum 2010</w:t>
      </w:r>
      <w:proofErr w:type="gramStart"/>
      <w:r w:rsidR="002076DF" w:rsidRPr="002076DF">
        <w:t>;62</w:t>
      </w:r>
      <w:proofErr w:type="gramEnd"/>
      <w:r w:rsidR="002076DF" w:rsidRPr="002076DF">
        <w:t>(5):1290-7.</w:t>
      </w:r>
      <w:bookmarkEnd w:id="27"/>
    </w:p>
    <w:p w14:paraId="10F3D69C" w14:textId="4CC8462F" w:rsidR="002076DF" w:rsidRPr="002076DF" w:rsidRDefault="005203FC" w:rsidP="00371EBC">
      <w:pPr>
        <w:spacing w:line="480" w:lineRule="auto"/>
        <w:jc w:val="both"/>
      </w:pPr>
      <w:bookmarkStart w:id="28" w:name="_ENREF_54"/>
      <w:r>
        <w:t>33</w:t>
      </w:r>
      <w:r w:rsidR="002076DF" w:rsidRPr="002076DF">
        <w:t xml:space="preserve">. Song IH, </w:t>
      </w:r>
      <w:proofErr w:type="spellStart"/>
      <w:r w:rsidR="002076DF" w:rsidRPr="002076DF">
        <w:t>Heldmann</w:t>
      </w:r>
      <w:proofErr w:type="spellEnd"/>
      <w:r w:rsidR="002076DF" w:rsidRPr="002076DF">
        <w:t xml:space="preserve"> F, </w:t>
      </w:r>
      <w:proofErr w:type="spellStart"/>
      <w:r w:rsidR="002076DF" w:rsidRPr="002076DF">
        <w:t>Rudwaleit</w:t>
      </w:r>
      <w:proofErr w:type="spellEnd"/>
      <w:r w:rsidR="002076DF" w:rsidRPr="002076DF">
        <w:t xml:space="preserve"> M, et al. Treatment of active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 with </w:t>
      </w:r>
      <w:proofErr w:type="spellStart"/>
      <w:r w:rsidR="002076DF" w:rsidRPr="002076DF">
        <w:t>abatacept</w:t>
      </w:r>
      <w:proofErr w:type="spellEnd"/>
      <w:r w:rsidR="002076DF" w:rsidRPr="002076DF">
        <w:t>: an open-label, 24-week pilot study. Ann Rheum Dis 2011</w:t>
      </w:r>
      <w:proofErr w:type="gramStart"/>
      <w:r w:rsidR="002076DF" w:rsidRPr="002076DF">
        <w:t>;70</w:t>
      </w:r>
      <w:proofErr w:type="gramEnd"/>
      <w:r w:rsidR="002076DF" w:rsidRPr="002076DF">
        <w:t>(6):1108-10.</w:t>
      </w:r>
      <w:bookmarkEnd w:id="28"/>
    </w:p>
    <w:p w14:paraId="757CE03B" w14:textId="42DE5BD0" w:rsidR="002076DF" w:rsidRPr="002076DF" w:rsidRDefault="005203FC" w:rsidP="00371EBC">
      <w:pPr>
        <w:spacing w:line="480" w:lineRule="auto"/>
        <w:jc w:val="both"/>
      </w:pPr>
      <w:bookmarkStart w:id="29" w:name="_ENREF_55"/>
      <w:r>
        <w:t>34</w:t>
      </w:r>
      <w:r w:rsidR="002076DF" w:rsidRPr="002076DF">
        <w:t xml:space="preserve">. </w:t>
      </w:r>
      <w:proofErr w:type="gramStart"/>
      <w:r w:rsidR="002076DF" w:rsidRPr="002076DF">
        <w:t>van</w:t>
      </w:r>
      <w:proofErr w:type="gramEnd"/>
      <w:r w:rsidR="002076DF" w:rsidRPr="002076DF">
        <w:t xml:space="preserve"> der </w:t>
      </w:r>
      <w:proofErr w:type="spellStart"/>
      <w:r w:rsidR="002076DF" w:rsidRPr="002076DF">
        <w:t>Heijde</w:t>
      </w:r>
      <w:proofErr w:type="spellEnd"/>
      <w:r w:rsidR="002076DF" w:rsidRPr="002076DF">
        <w:t xml:space="preserve"> D, </w:t>
      </w:r>
      <w:proofErr w:type="spellStart"/>
      <w:r w:rsidR="002076DF" w:rsidRPr="002076DF">
        <w:t>Pangan</w:t>
      </w:r>
      <w:proofErr w:type="spellEnd"/>
      <w:r w:rsidR="002076DF" w:rsidRPr="002076DF">
        <w:t xml:space="preserve"> AL, Schiff MH, et al. </w:t>
      </w:r>
      <w:proofErr w:type="spellStart"/>
      <w:r w:rsidR="002076DF" w:rsidRPr="002076DF">
        <w:t>Adalimumab</w:t>
      </w:r>
      <w:proofErr w:type="spellEnd"/>
      <w:r w:rsidR="002076DF" w:rsidRPr="002076DF">
        <w:t xml:space="preserve"> effectively reduces the signs and symptoms of active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 in patients with total spinal </w:t>
      </w:r>
      <w:proofErr w:type="spellStart"/>
      <w:r w:rsidR="002076DF" w:rsidRPr="002076DF">
        <w:t>ankylosis</w:t>
      </w:r>
      <w:proofErr w:type="spellEnd"/>
      <w:r w:rsidR="002076DF" w:rsidRPr="002076DF">
        <w:t>. Ann Rheum Dis 2008</w:t>
      </w:r>
      <w:proofErr w:type="gramStart"/>
      <w:r w:rsidR="002076DF" w:rsidRPr="002076DF">
        <w:t>;67</w:t>
      </w:r>
      <w:proofErr w:type="gramEnd"/>
      <w:r w:rsidR="002076DF" w:rsidRPr="002076DF">
        <w:t>(9):1218-21.</w:t>
      </w:r>
      <w:bookmarkEnd w:id="29"/>
    </w:p>
    <w:p w14:paraId="52B3352A" w14:textId="0F100273" w:rsidR="002076DF" w:rsidRPr="002076DF" w:rsidRDefault="005203FC" w:rsidP="00371EBC">
      <w:pPr>
        <w:spacing w:line="480" w:lineRule="auto"/>
        <w:jc w:val="both"/>
      </w:pPr>
      <w:bookmarkStart w:id="30" w:name="_ENREF_56"/>
      <w:r>
        <w:t>35</w:t>
      </w:r>
      <w:r w:rsidR="002076DF" w:rsidRPr="002076DF">
        <w:t xml:space="preserve">. </w:t>
      </w:r>
      <w:proofErr w:type="gramStart"/>
      <w:r w:rsidR="002076DF" w:rsidRPr="002076DF">
        <w:t>van</w:t>
      </w:r>
      <w:proofErr w:type="gramEnd"/>
      <w:r w:rsidR="002076DF" w:rsidRPr="002076DF">
        <w:t xml:space="preserve"> der </w:t>
      </w:r>
      <w:proofErr w:type="spellStart"/>
      <w:r w:rsidR="002076DF" w:rsidRPr="002076DF">
        <w:t>Heijde</w:t>
      </w:r>
      <w:proofErr w:type="spellEnd"/>
      <w:r w:rsidR="002076DF" w:rsidRPr="002076DF">
        <w:t xml:space="preserve"> D, </w:t>
      </w:r>
      <w:proofErr w:type="spellStart"/>
      <w:r w:rsidR="002076DF" w:rsidRPr="002076DF">
        <w:t>Sieper</w:t>
      </w:r>
      <w:proofErr w:type="spellEnd"/>
      <w:r w:rsidR="002076DF" w:rsidRPr="002076DF">
        <w:t xml:space="preserve"> J, </w:t>
      </w:r>
      <w:proofErr w:type="spellStart"/>
      <w:r w:rsidR="002076DF" w:rsidRPr="002076DF">
        <w:t>Maksymowych</w:t>
      </w:r>
      <w:proofErr w:type="spellEnd"/>
      <w:r w:rsidR="002076DF" w:rsidRPr="002076DF">
        <w:t xml:space="preserve"> WP, et al. 2010 Update of the international ASAS recommendations for the use of anti-TNF agents in patients with axial </w:t>
      </w:r>
      <w:proofErr w:type="spellStart"/>
      <w:r w:rsidR="002076DF" w:rsidRPr="002076DF">
        <w:t>spondyloarthritis</w:t>
      </w:r>
      <w:proofErr w:type="spellEnd"/>
      <w:r w:rsidR="002076DF" w:rsidRPr="002076DF">
        <w:t>. Ann Rheum Dis 2011</w:t>
      </w:r>
      <w:proofErr w:type="gramStart"/>
      <w:r w:rsidR="002076DF" w:rsidRPr="002076DF">
        <w:t>;70</w:t>
      </w:r>
      <w:proofErr w:type="gramEnd"/>
      <w:r w:rsidR="002076DF" w:rsidRPr="002076DF">
        <w:t>(6):905-8.</w:t>
      </w:r>
      <w:bookmarkEnd w:id="30"/>
    </w:p>
    <w:p w14:paraId="400B5E4E" w14:textId="0BA0FB96" w:rsidR="002076DF" w:rsidRPr="002076DF" w:rsidRDefault="005203FC" w:rsidP="00371EBC">
      <w:pPr>
        <w:spacing w:line="480" w:lineRule="auto"/>
        <w:jc w:val="both"/>
      </w:pPr>
      <w:bookmarkStart w:id="31" w:name="_ENREF_57"/>
      <w:r>
        <w:t>36</w:t>
      </w:r>
      <w:r w:rsidR="002076DF" w:rsidRPr="002076DF">
        <w:t xml:space="preserve">. Wang H, </w:t>
      </w:r>
      <w:proofErr w:type="spellStart"/>
      <w:r w:rsidR="002076DF" w:rsidRPr="002076DF">
        <w:t>Zuo</w:t>
      </w:r>
      <w:proofErr w:type="spellEnd"/>
      <w:r w:rsidR="002076DF" w:rsidRPr="002076DF">
        <w:t xml:space="preserve"> D, Sun M, et al. Randomized, placebo controlled and double-blind trials of efficacy and safety of </w:t>
      </w:r>
      <w:proofErr w:type="spellStart"/>
      <w:r w:rsidR="002076DF" w:rsidRPr="002076DF">
        <w:t>adalimumab</w:t>
      </w:r>
      <w:proofErr w:type="spellEnd"/>
      <w:r w:rsidR="002076DF" w:rsidRPr="002076DF">
        <w:t xml:space="preserve"> for treating </w:t>
      </w:r>
      <w:proofErr w:type="spellStart"/>
      <w:r w:rsidR="002076DF" w:rsidRPr="002076DF">
        <w:t>ankylosing</w:t>
      </w:r>
      <w:proofErr w:type="spellEnd"/>
      <w:r w:rsidR="002076DF" w:rsidRPr="002076DF">
        <w:t xml:space="preserve"> spondylitis: a meta-analysis. </w:t>
      </w:r>
      <w:proofErr w:type="spellStart"/>
      <w:r w:rsidR="002076DF" w:rsidRPr="002076DF">
        <w:t>Int</w:t>
      </w:r>
      <w:proofErr w:type="spellEnd"/>
      <w:r w:rsidR="002076DF" w:rsidRPr="002076DF">
        <w:t xml:space="preserve"> J Rheum Dis 2014</w:t>
      </w:r>
      <w:proofErr w:type="gramStart"/>
      <w:r w:rsidR="002076DF" w:rsidRPr="002076DF">
        <w:t>;17</w:t>
      </w:r>
      <w:proofErr w:type="gramEnd"/>
      <w:r w:rsidR="002076DF" w:rsidRPr="002076DF">
        <w:t>(2):142-8.</w:t>
      </w:r>
      <w:bookmarkEnd w:id="31"/>
    </w:p>
    <w:p w14:paraId="0D9F3CE5" w14:textId="77777777" w:rsidR="002076DF" w:rsidRDefault="002076DF"/>
    <w:sectPr w:rsidR="002076DF" w:rsidSect="00885F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0"/>
    <w:rsid w:val="002076DF"/>
    <w:rsid w:val="00303097"/>
    <w:rsid w:val="00371EBC"/>
    <w:rsid w:val="003E20AF"/>
    <w:rsid w:val="004760DB"/>
    <w:rsid w:val="005203FC"/>
    <w:rsid w:val="00885F1B"/>
    <w:rsid w:val="00D25F60"/>
    <w:rsid w:val="00DD0484"/>
    <w:rsid w:val="00E76155"/>
    <w:rsid w:val="00E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2A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60"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60"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2409</Words>
  <Characters>13255</Characters>
  <Application>Microsoft Macintosh Word</Application>
  <DocSecurity>0</DocSecurity>
  <Lines>110</Lines>
  <Paragraphs>31</Paragraphs>
  <ScaleCrop>false</ScaleCrop>
  <Company>universidad de Sevilla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Navarro compan</dc:creator>
  <cp:keywords/>
  <dc:description/>
  <cp:lastModifiedBy>Maria victoria Navarro compan</cp:lastModifiedBy>
  <cp:revision>7</cp:revision>
  <dcterms:created xsi:type="dcterms:W3CDTF">2017-06-01T14:39:00Z</dcterms:created>
  <dcterms:modified xsi:type="dcterms:W3CDTF">2017-06-01T20:31:00Z</dcterms:modified>
</cp:coreProperties>
</file>