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</w:rPr>
        <w:t>SUPPLEMENTAL MATERIALS</w:t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11792D" w:rsidRPr="000C0847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0C0847">
        <w:rPr>
          <w:rFonts w:ascii="Times New Roman" w:eastAsia="Times New Roman" w:hAnsi="Times New Roman" w:cs="Times New Roman"/>
          <w:lang w:val="en-GB"/>
        </w:rPr>
        <w:t>Supplemental Figure 1</w:t>
      </w:r>
      <w:r w:rsidRPr="000C0847">
        <w:rPr>
          <w:rFonts w:ascii="Times New Roman" w:eastAsia="Times New Roman" w:hAnsi="Times New Roman" w:cs="Times New Roman"/>
        </w:rPr>
        <w:t xml:space="preserve"> </w:t>
      </w:r>
      <w:r w:rsidRPr="000C0847">
        <w:rPr>
          <w:rFonts w:ascii="Times New Roman" w:eastAsia="Times New Roman" w:hAnsi="Times New Roman" w:cs="Times New Roman"/>
          <w:lang w:val="en-GB"/>
        </w:rPr>
        <w:t>Mean (SE) maximum percent change from baseline (Emax) in sUA (µmol/L) following varying verinurad doses in combination with febuxostat 40 mg or 80 mg versus febuxostat 40 mg or 80 mg alone (PD population, pooled across cohorts.</w:t>
      </w:r>
      <w:r w:rsidRPr="00FA2DB1">
        <w:rPr>
          <w:rFonts w:ascii="Times New Roman" w:eastAsia="Times New Roman" w:hAnsi="Times New Roman" w:cs="Times New Roman"/>
          <w:lang w:val="en-GB"/>
        </w:rPr>
        <w:t xml:space="preserve"> </w:t>
      </w:r>
      <w:r w:rsidRPr="000C0847">
        <w:rPr>
          <w:rFonts w:ascii="Times New Roman" w:eastAsia="Times New Roman" w:hAnsi="Times New Roman" w:cs="Times New Roman"/>
          <w:lang w:val="en-GB"/>
        </w:rPr>
        <w:t>Patient n</w:t>
      </w:r>
      <w:r>
        <w:rPr>
          <w:rFonts w:ascii="Times New Roman" w:eastAsia="Times New Roman" w:hAnsi="Times New Roman" w:cs="Times New Roman"/>
          <w:lang w:val="en-GB"/>
        </w:rPr>
        <w:t xml:space="preserve"> in parentheses</w:t>
      </w:r>
      <w:r w:rsidRPr="000C0847">
        <w:rPr>
          <w:rFonts w:ascii="Times New Roman" w:eastAsia="Times New Roman" w:hAnsi="Times New Roman" w:cs="Times New Roman"/>
          <w:lang w:val="en-GB"/>
        </w:rPr>
        <w:t xml:space="preserve">: </w:t>
      </w:r>
      <w:r w:rsidRPr="00D455AB">
        <w:rPr>
          <w:rFonts w:ascii="Times New Roman" w:eastAsia="Times New Roman" w:hAnsi="Times New Roman" w:cs="Times New Roman"/>
          <w:i/>
          <w:lang w:val="en-GB"/>
        </w:rPr>
        <w:t>febuxostat 40 mg</w:t>
      </w:r>
      <w:r>
        <w:rPr>
          <w:rFonts w:ascii="Times New Roman" w:eastAsia="Times New Roman" w:hAnsi="Times New Roman" w:cs="Times New Roman"/>
          <w:lang w:val="en-GB"/>
        </w:rPr>
        <w:t xml:space="preserve">: </w:t>
      </w:r>
      <w:r w:rsidRPr="000C0847">
        <w:rPr>
          <w:rFonts w:ascii="Times New Roman" w:eastAsia="Times New Roman" w:hAnsi="Times New Roman" w:cs="Times New Roman"/>
          <w:lang w:val="en-GB"/>
        </w:rPr>
        <w:t>f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ebuxostat </w:t>
      </w:r>
      <w:r>
        <w:rPr>
          <w:rFonts w:ascii="Times New Roman" w:eastAsia="Times New Roman" w:hAnsi="Times New Roman" w:cs="Times New Roman"/>
          <w:color w:val="000000"/>
        </w:rPr>
        <w:t>alone (</w:t>
      </w:r>
      <w:r w:rsidRPr="000C0847"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2.5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5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10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15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20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 xml:space="preserve">); </w:t>
      </w:r>
      <w:r w:rsidRPr="00D455AB">
        <w:rPr>
          <w:rFonts w:ascii="Times New Roman" w:eastAsia="Times New Roman" w:hAnsi="Times New Roman" w:cs="Times New Roman"/>
          <w:i/>
          <w:color w:val="000000"/>
        </w:rPr>
        <w:t>febuxostat 80 mg: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febuxostat </w:t>
      </w:r>
      <w:r>
        <w:rPr>
          <w:rFonts w:ascii="Times New Roman" w:eastAsia="Times New Roman" w:hAnsi="Times New Roman" w:cs="Times New Roman"/>
          <w:color w:val="000000"/>
        </w:rPr>
        <w:t>alone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2.5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5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10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0C0847">
        <w:rPr>
          <w:rFonts w:ascii="Times New Roman" w:eastAsia="Times New Roman" w:hAnsi="Times New Roman" w:cs="Times New Roman"/>
          <w:color w:val="000000"/>
        </w:rPr>
        <w:t xml:space="preserve"> verinurad 15 mg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0C0847">
        <w:rPr>
          <w:rFonts w:ascii="Times New Roman" w:eastAsia="Times New Roman" w:hAnsi="Times New Roman" w:cs="Times New Roman"/>
          <w:color w:val="000000"/>
        </w:rPr>
        <w:t>12</w:t>
      </w:r>
      <w:r w:rsidRPr="00EC30DC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)</w:t>
      </w:r>
      <w:r w:rsidRPr="000C0847">
        <w:rPr>
          <w:rFonts w:ascii="Times New Roman" w:eastAsia="Times New Roman" w:hAnsi="Times New Roman" w:cs="Times New Roman"/>
          <w:lang w:val="en-GB"/>
        </w:rPr>
        <w:t>.</w:t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>
            <wp:extent cx="5943600" cy="332537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</w:rPr>
        <w:br w:type="page"/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846EBA">
        <w:rPr>
          <w:rFonts w:ascii="Times New Roman" w:eastAsia="Times New Roman" w:hAnsi="Times New Roman" w:cs="Times New Roman"/>
          <w:lang w:val="en-GB"/>
        </w:rPr>
        <w:lastRenderedPageBreak/>
        <w:t>Supplemental Figure 2</w:t>
      </w:r>
      <w:r w:rsidRPr="00846EBA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846EBA">
        <w:rPr>
          <w:rFonts w:ascii="Times New Roman" w:eastAsia="Times New Roman" w:hAnsi="Times New Roman" w:cs="Times New Roman"/>
          <w:lang w:val="en-GB"/>
        </w:rPr>
        <w:t>Lowest mean (SE) sUA (mg/dL) following verinurad doses in combination with febuxostat 40 mg or 80 mg versus febuxostat 40 mg or 80 mg alone (PD population, pooled across cohorts</w:t>
      </w:r>
      <w:r>
        <w:rPr>
          <w:rFonts w:ascii="Times New Roman" w:eastAsia="Times New Roman" w:hAnsi="Times New Roman" w:cs="Times New Roman"/>
          <w:lang w:val="en-GB"/>
        </w:rPr>
        <w:t xml:space="preserve">. Patient n: see </w:t>
      </w:r>
      <w:r w:rsidRPr="000C0847">
        <w:rPr>
          <w:rFonts w:ascii="Times New Roman" w:eastAsia="Times New Roman" w:hAnsi="Times New Roman" w:cs="Times New Roman"/>
          <w:lang w:val="en-GB"/>
        </w:rPr>
        <w:t>Supplemental Figure 1</w:t>
      </w:r>
      <w:r w:rsidRPr="00846EBA">
        <w:rPr>
          <w:rFonts w:ascii="Times New Roman" w:eastAsia="Times New Roman" w:hAnsi="Times New Roman" w:cs="Times New Roman"/>
          <w:lang w:val="en-GB"/>
        </w:rPr>
        <w:t>).</w:t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>
            <wp:extent cx="5943600" cy="457120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</w:rPr>
        <w:br w:type="page"/>
      </w:r>
    </w:p>
    <w:p w:rsidR="0011792D" w:rsidRPr="00846EBA" w:rsidRDefault="0011792D" w:rsidP="0011792D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846EBA">
        <w:rPr>
          <w:rFonts w:ascii="Times New Roman" w:eastAsia="Times New Roman" w:hAnsi="Times New Roman" w:cs="Times New Roman"/>
          <w:lang w:val="en-GB"/>
        </w:rPr>
        <w:lastRenderedPageBreak/>
        <w:t>Supplemental Figure 3</w:t>
      </w:r>
      <w:r w:rsidRPr="00846EBA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846EBA">
        <w:rPr>
          <w:rFonts w:ascii="Times New Roman" w:eastAsia="Times New Roman" w:hAnsi="Times New Roman" w:cs="Times New Roman"/>
          <w:lang w:val="en-GB"/>
        </w:rPr>
        <w:t>Mean (SE) plasma concentration profiles of verinurad (µg/mL) following verinurad 2.5, 5, 10, 15 or 20 mg in combination with (A) febuxostat 40 mg, and (B) febuxostat 80 mg; mean (SE) plasma concentration profiles of febuxostat (µg/mL) following (C) febuxostat 40 mg and (D) febuxostat 80 mg in combination with verinurad (2.5, 5, 10, 15 and 20 mg) (PK population</w:t>
      </w:r>
      <w:r>
        <w:rPr>
          <w:rFonts w:ascii="Times New Roman" w:eastAsia="Times New Roman" w:hAnsi="Times New Roman" w:cs="Times New Roman"/>
          <w:lang w:val="en-GB"/>
        </w:rPr>
        <w:t>. Patient n: see Table 2</w:t>
      </w:r>
      <w:r w:rsidRPr="00846EBA">
        <w:rPr>
          <w:rFonts w:ascii="Times New Roman" w:eastAsia="Times New Roman" w:hAnsi="Times New Roman" w:cs="Times New Roman"/>
          <w:lang w:val="en-GB"/>
        </w:rPr>
        <w:t xml:space="preserve">). </w:t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>
            <wp:extent cx="5943600" cy="458692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2D" w:rsidRPr="00846EBA" w:rsidRDefault="0011792D" w:rsidP="0011792D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 w:rsidRPr="00846EBA">
        <w:rPr>
          <w:rFonts w:ascii="Times New Roman" w:eastAsia="Times New Roman" w:hAnsi="Times New Roman" w:cs="Times New Roman"/>
        </w:rPr>
        <w:br w:type="page"/>
      </w:r>
    </w:p>
    <w:p w:rsidR="0011792D" w:rsidRDefault="0011792D" w:rsidP="0011792D">
      <w:pPr>
        <w:ind w:left="0" w:firstLine="0"/>
        <w:rPr>
          <w:rFonts w:ascii="Times New Roman" w:eastAsia="Times New Roman" w:hAnsi="Times New Roman" w:cs="Times New Roman"/>
          <w:lang w:val="en-GB"/>
        </w:rPr>
      </w:pPr>
      <w:r w:rsidRPr="00A5783F"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Supplemental table 1</w:t>
      </w:r>
      <w:r w:rsidRPr="00A5783F">
        <w:rPr>
          <w:rFonts w:ascii="Times New Roman" w:hAnsi="Times New Roman" w:cs="Times New Roman"/>
        </w:rPr>
        <w:t xml:space="preserve"> Lowest absolute sUA </w:t>
      </w:r>
      <w:r>
        <w:rPr>
          <w:rFonts w:ascii="Times New Roman" w:hAnsi="Times New Roman" w:cs="Times New Roman"/>
        </w:rPr>
        <w:t>(mg/dL) following</w:t>
      </w:r>
      <w:r w:rsidRPr="00A5783F">
        <w:rPr>
          <w:rFonts w:ascii="Times New Roman" w:hAnsi="Times New Roman" w:cs="Times New Roman"/>
        </w:rPr>
        <w:t xml:space="preserve"> </w:t>
      </w:r>
      <w:r w:rsidRPr="00846EBA">
        <w:rPr>
          <w:rFonts w:ascii="Times New Roman" w:eastAsia="Times New Roman" w:hAnsi="Times New Roman" w:cs="Times New Roman"/>
          <w:lang w:val="en-GB"/>
        </w:rPr>
        <w:t xml:space="preserve">verinurad doses in combination with febuxostat 40 mg or 80 mg versus febuxostat 40 mg or 80 mg alone (PD population, </w:t>
      </w:r>
      <w:r>
        <w:rPr>
          <w:rFonts w:ascii="Times New Roman" w:eastAsia="Times New Roman" w:hAnsi="Times New Roman" w:cs="Times New Roman"/>
          <w:lang w:val="en-GB"/>
        </w:rPr>
        <w:t xml:space="preserve">data presented by cohort 1-4. </w:t>
      </w:r>
      <w:r w:rsidRPr="00C059D2">
        <w:rPr>
          <w:rFonts w:ascii="Times New Roman" w:eastAsia="Times New Roman" w:hAnsi="Times New Roman" w:cs="Times New Roman"/>
          <w:lang w:val="en-GB"/>
        </w:rPr>
        <w:t>Mixed effects model, with treatment as fixed effects, subject as random effects and baseline value as covariate for each cohort</w:t>
      </w:r>
      <w:r w:rsidRPr="00846EBA">
        <w:rPr>
          <w:rFonts w:ascii="Times New Roman" w:eastAsia="Times New Roman" w:hAnsi="Times New Roman" w:cs="Times New Roman"/>
          <w:lang w:val="en-GB"/>
        </w:rPr>
        <w:t>)</w:t>
      </w:r>
      <w:r>
        <w:rPr>
          <w:rFonts w:ascii="Times New Roman" w:eastAsia="Times New Roman" w:hAnsi="Times New Roman" w:cs="Times New Roman"/>
          <w:lang w:val="en-GB"/>
        </w:rPr>
        <w:t>.</w:t>
      </w:r>
    </w:p>
    <w:p w:rsidR="0011792D" w:rsidRDefault="0011792D" w:rsidP="0011792D">
      <w:pPr>
        <w:ind w:left="0" w:firstLine="0"/>
        <w:rPr>
          <w:rFonts w:ascii="Times New Roman" w:eastAsia="Times New Roman" w:hAnsi="Times New Roman" w:cs="Times New Roman"/>
          <w:lang w:val="en-GB"/>
        </w:rPr>
      </w:pPr>
    </w:p>
    <w:tbl>
      <w:tblPr>
        <w:tblW w:w="9322" w:type="dxa"/>
        <w:tblLook w:val="04A0"/>
      </w:tblPr>
      <w:tblGrid>
        <w:gridCol w:w="828"/>
        <w:gridCol w:w="1690"/>
        <w:gridCol w:w="1559"/>
        <w:gridCol w:w="1418"/>
        <w:gridCol w:w="1417"/>
        <w:gridCol w:w="1134"/>
        <w:gridCol w:w="1276"/>
      </w:tblGrid>
      <w:tr w:rsidR="0011792D" w:rsidRPr="008A7CAC" w:rsidTr="00A07CF1">
        <w:trPr>
          <w:cantSplit/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Test </w:t>
            </w:r>
            <w:r w:rsidRPr="008A7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least squares</w:t>
            </w: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means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Comparator </w:t>
            </w:r>
            <w:r w:rsidRPr="008A7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least squares</w:t>
            </w: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uxostat 4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11792D" w:rsidRPr="008A7CAC" w:rsidTr="00A07CF1">
        <w:trPr>
          <w:cantSplit/>
          <w:trHeight w:val="29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D" w:rsidRPr="008A7CAC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Verinurad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r w:rsidRPr="008A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uxostat </w:t>
            </w: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2D" w:rsidRPr="00461495" w:rsidRDefault="0011792D" w:rsidP="00A07CF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11792D" w:rsidRDefault="0011792D" w:rsidP="0011792D">
      <w:pPr>
        <w:ind w:left="35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11792D" w:rsidRDefault="0011792D" w:rsidP="0011792D">
      <w:pPr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br w:type="page"/>
      </w:r>
    </w:p>
    <w:p w:rsidR="0011792D" w:rsidRPr="00F9102E" w:rsidRDefault="0011792D" w:rsidP="0011792D">
      <w:pPr>
        <w:tabs>
          <w:tab w:val="left" w:pos="1440"/>
        </w:tabs>
        <w:spacing w:before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-1"/>
        </w:rPr>
      </w:pPr>
      <w:r w:rsidRPr="00F9102E"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Supplemental table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2</w:t>
      </w:r>
      <w:r w:rsidRPr="00F910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F9102E">
        <w:rPr>
          <w:rFonts w:ascii="Times New Roman" w:eastAsia="Times New Roman" w:hAnsi="Times New Roman" w:cs="Times New Roman"/>
          <w:color w:val="000000"/>
          <w:spacing w:val="-1"/>
        </w:rPr>
        <w:t>24-Hour</w:t>
      </w:r>
      <w:r w:rsidRPr="00F910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A62E54">
        <w:rPr>
          <w:rFonts w:ascii="Times New Roman" w:eastAsia="Times New Roman" w:hAnsi="Times New Roman" w:cs="Times New Roman"/>
          <w:b/>
          <w:color w:val="000000"/>
          <w:spacing w:val="-1"/>
        </w:rPr>
        <w:t>f</w:t>
      </w:r>
      <w:r w:rsidRPr="00F9102E">
        <w:rPr>
          <w:rFonts w:ascii="Times New Roman" w:eastAsia="Times New Roman" w:hAnsi="Times New Roman" w:cs="Times New Roman"/>
          <w:color w:val="000000"/>
          <w:spacing w:val="-1"/>
        </w:rPr>
        <w:t>ractional excretion of uric acid (FEUA) following administration of multiple doses of febuxostat 40 mg and 80 mg alone and in combination with varying doses of verinurad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(PD population, cohort 1-5).</w:t>
      </w:r>
    </w:p>
    <w:p w:rsidR="0011792D" w:rsidRDefault="0011792D" w:rsidP="0011792D">
      <w:pPr>
        <w:tabs>
          <w:tab w:val="left" w:pos="1440"/>
        </w:tabs>
        <w:spacing w:before="120" w:line="240" w:lineRule="auto"/>
        <w:ind w:left="0" w:firstLine="0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:rsidR="0011792D" w:rsidRDefault="0011792D" w:rsidP="0011792D">
      <w:pPr>
        <w:rPr>
          <w:sz w:val="2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536"/>
        <w:gridCol w:w="3260"/>
      </w:tblGrid>
      <w:tr w:rsidR="0011792D" w:rsidRPr="00D455AB" w:rsidTr="00A07CF1">
        <w:trPr>
          <w:trHeight w:hRule="exact" w:val="341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  <w:r w:rsidRPr="00D45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Baseline or treatment (mg)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FEUA</w:t>
            </w:r>
            <w:r w:rsidR="00D45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45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11792D" w:rsidRPr="00D455AB" w:rsidTr="00A07CF1">
        <w:trPr>
          <w:trHeight w:hRule="exact" w:val="29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Cohort 4</w:t>
            </w: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(n = 13)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 (3.51, 4.71)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1792D" w:rsidRPr="00D455AB" w:rsidTr="00A07CF1">
        <w:trPr>
          <w:trHeight w:hRule="exact" w:val="283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40 (n = 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 (2.87, 3.73)</w:t>
            </w:r>
          </w:p>
        </w:tc>
      </w:tr>
      <w:tr w:rsidR="0011792D" w:rsidRPr="00D455AB" w:rsidTr="00A07CF1">
        <w:trPr>
          <w:trHeight w:hRule="exact" w:val="26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80 (n = 13)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 (2.78, 3.52)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2.5 + febuxostat 40 (n = 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 (3.89, 5.33)</w:t>
            </w:r>
          </w:p>
        </w:tc>
      </w:tr>
      <w:tr w:rsidR="0011792D" w:rsidRPr="00D455AB" w:rsidTr="00A07CF1">
        <w:trPr>
          <w:trHeight w:hRule="exact" w:val="276"/>
        </w:trPr>
        <w:tc>
          <w:tcPr>
            <w:tcW w:w="998" w:type="dxa"/>
            <w:tcBorders>
              <w:bottom w:val="single" w:sz="4" w:space="0" w:color="auto"/>
            </w:tcBorders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2.5 + febuxostat 80 (n = 12)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 (3.48, 4.90)</w:t>
            </w:r>
          </w:p>
        </w:tc>
      </w:tr>
      <w:tr w:rsidR="0011792D" w:rsidRPr="00D455AB" w:rsidTr="00A07CF1">
        <w:trPr>
          <w:trHeight w:hRule="exact" w:val="294"/>
        </w:trPr>
        <w:tc>
          <w:tcPr>
            <w:tcW w:w="998" w:type="dxa"/>
            <w:tcBorders>
              <w:bottom w:val="single" w:sz="4" w:space="0" w:color="auto"/>
            </w:tcBorders>
          </w:tcPr>
          <w:p w:rsidR="0011792D" w:rsidRPr="00D455AB" w:rsidRDefault="0011792D" w:rsidP="00BF693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Cohort 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(n = 12)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 (2.90, 4.70)</w:t>
            </w:r>
          </w:p>
        </w:tc>
      </w:tr>
      <w:tr w:rsidR="0011792D" w:rsidRPr="00D455AB" w:rsidTr="00A07CF1">
        <w:trPr>
          <w:trHeight w:hRule="exact" w:val="270"/>
        </w:trPr>
        <w:tc>
          <w:tcPr>
            <w:tcW w:w="998" w:type="dxa"/>
            <w:tcBorders>
              <w:bottom w:val="single" w:sz="4" w:space="0" w:color="auto"/>
            </w:tcBorders>
          </w:tcPr>
          <w:p w:rsidR="0011792D" w:rsidRPr="00D455AB" w:rsidRDefault="0011792D" w:rsidP="00BF693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40 (n = 12)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 (2.95, 4.08)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  <w:tcBorders>
              <w:bottom w:val="single" w:sz="4" w:space="0" w:color="auto"/>
            </w:tcBorders>
          </w:tcPr>
          <w:p w:rsidR="0011792D" w:rsidRPr="00D455AB" w:rsidRDefault="0011792D" w:rsidP="00BF693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80 (n = 12)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92D" w:rsidRPr="00D455AB" w:rsidRDefault="0011792D" w:rsidP="00A07CF1">
            <w:pPr>
              <w:tabs>
                <w:tab w:val="decimal" w:pos="0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 (2.67, 3.50)</w:t>
            </w:r>
          </w:p>
        </w:tc>
      </w:tr>
      <w:tr w:rsidR="0011792D" w:rsidRPr="00D455AB" w:rsidTr="00A07CF1">
        <w:trPr>
          <w:trHeight w:hRule="exact" w:val="292"/>
        </w:trPr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11792D" w:rsidRPr="00D455AB" w:rsidRDefault="0011792D" w:rsidP="00BF693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5 + febuxostat 40 (n = 12)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5.60 (4.57, 6.63)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1792D" w:rsidRPr="00D455AB" w:rsidTr="00A07CF1">
        <w:trPr>
          <w:trHeight w:hRule="exact" w:val="274"/>
        </w:trPr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11792D" w:rsidRPr="00D455AB" w:rsidRDefault="0011792D" w:rsidP="00BF693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5 + febuxostat 80 (n = 12)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 (4.55, 7.35)</w:t>
            </w:r>
          </w:p>
        </w:tc>
      </w:tr>
      <w:tr w:rsidR="0011792D" w:rsidRPr="00D455AB" w:rsidTr="00A07CF1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</w:tcBorders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Cohort 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(n = 11)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4.36 (3.87, 4.85)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40 (n = 13)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 (2.88, 3.61)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80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 (2.97, 3.66)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1792D" w:rsidRPr="00D455AB" w:rsidTr="00A07CF1">
        <w:trPr>
          <w:trHeight w:hRule="exact" w:val="293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10 + febuxostat 40 (n = 13)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8.99 (6.67, 11.3)</w:t>
            </w:r>
          </w:p>
        </w:tc>
      </w:tr>
      <w:tr w:rsidR="0011792D" w:rsidRPr="00D455AB" w:rsidTr="00A07CF1">
        <w:trPr>
          <w:trHeight w:hRule="exact" w:val="307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10 + febuxostat 80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(8.30, 13.9)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</w:tr>
      <w:tr w:rsidR="0011792D" w:rsidRPr="00D455AB" w:rsidTr="00A07CF1">
        <w:trPr>
          <w:trHeight w:hRule="exact" w:val="246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Cohort 2</w:t>
            </w: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(n =12)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 (3.20, 4.96)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40 (n = 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 (2.67, 3.74)</w:t>
            </w:r>
          </w:p>
        </w:tc>
      </w:tr>
      <w:tr w:rsidR="0011792D" w:rsidRPr="00D455AB" w:rsidTr="00A07CF1">
        <w:trPr>
          <w:trHeight w:hRule="exact" w:val="293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80 (N = 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 (2.44, 3.84)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15 + febuxostat 40 (n = 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 (7.34, 12.3)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</w:tr>
      <w:tr w:rsidR="0011792D" w:rsidRPr="00D455AB" w:rsidTr="00A07CF1">
        <w:trPr>
          <w:trHeight w:hRule="exact" w:val="307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15 + febuxostat 80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9.94 (7.47, 12.4)</w:t>
            </w:r>
          </w:p>
        </w:tc>
      </w:tr>
      <w:tr w:rsidR="0011792D" w:rsidRPr="00D455AB" w:rsidTr="00A07CF1">
        <w:trPr>
          <w:trHeight w:hRule="exact" w:val="239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Cohort 5</w:t>
            </w: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(n = 12)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 (3.24, 4.71)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1792D" w:rsidRPr="00D455AB" w:rsidTr="00A07CF1">
        <w:trPr>
          <w:trHeight w:hRule="exact" w:val="283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 40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 (2.35, 3.23)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1792D" w:rsidRPr="00D455AB" w:rsidTr="00A07CF1">
        <w:trPr>
          <w:trHeight w:hRule="exact" w:val="288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10 + febuxostat 40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 (5.89, 8.11)</w:t>
            </w:r>
          </w:p>
        </w:tc>
      </w:tr>
      <w:tr w:rsidR="0011792D" w:rsidRPr="00D455AB" w:rsidTr="00A07CF1">
        <w:trPr>
          <w:trHeight w:hRule="exact" w:val="293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15 + febuxostat 40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8.43 (7.03, 9.82)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1792D" w:rsidRPr="00D455AB" w:rsidTr="00A07CF1">
        <w:trPr>
          <w:trHeight w:hRule="exact" w:val="311"/>
        </w:trPr>
        <w:tc>
          <w:tcPr>
            <w:tcW w:w="998" w:type="dxa"/>
          </w:tcPr>
          <w:p w:rsidR="0011792D" w:rsidRPr="00D455AB" w:rsidRDefault="0011792D" w:rsidP="00BF6936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792D" w:rsidRPr="00D455AB" w:rsidRDefault="0011792D" w:rsidP="00A07CF1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Verinurad 20 + febuxostat 40 (n = 11)</w:t>
            </w:r>
          </w:p>
        </w:tc>
        <w:tc>
          <w:tcPr>
            <w:tcW w:w="3260" w:type="dxa"/>
          </w:tcPr>
          <w:p w:rsidR="0011792D" w:rsidRPr="00D455AB" w:rsidRDefault="0011792D" w:rsidP="00A07CF1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 (7.98, 11.6)</w:t>
            </w:r>
            <w:r w:rsidRPr="00D45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</w:tr>
    </w:tbl>
    <w:bookmarkEnd w:id="0"/>
    <w:p w:rsidR="0011792D" w:rsidRPr="00846EBA" w:rsidRDefault="0011792D" w:rsidP="0011792D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val="en-GB"/>
        </w:rPr>
      </w:pP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  <w:vertAlign w:val="superscript"/>
        </w:rPr>
        <w:t>a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</w:t>
      </w:r>
      <w:r w:rsidRPr="00880C7E">
        <w:rPr>
          <w:rFonts w:eastAsia="Times New Roman"/>
          <w:color w:val="000000"/>
          <w:spacing w:val="-7"/>
          <w:sz w:val="18"/>
          <w:szCs w:val="18"/>
        </w:rPr>
        <w:t>n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= 12; 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  <w:vertAlign w:val="superscript"/>
        </w:rPr>
        <w:t>b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</w:t>
      </w:r>
      <w:r w:rsidRPr="00880C7E">
        <w:rPr>
          <w:rFonts w:eastAsia="Times New Roman"/>
          <w:color w:val="000000"/>
          <w:spacing w:val="-7"/>
          <w:sz w:val="18"/>
          <w:szCs w:val="18"/>
        </w:rPr>
        <w:t>n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= 11; 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  <w:vertAlign w:val="superscript"/>
        </w:rPr>
        <w:t>c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7"/>
          <w:sz w:val="18"/>
          <w:szCs w:val="18"/>
        </w:rPr>
        <w:t>n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= 10; 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  <w:vertAlign w:val="superscript"/>
        </w:rPr>
        <w:t>d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7"/>
          <w:sz w:val="18"/>
          <w:szCs w:val="18"/>
        </w:rPr>
        <w:t>n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= 7; 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  <w:vertAlign w:val="superscript"/>
        </w:rPr>
        <w:t>f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7"/>
          <w:sz w:val="18"/>
          <w:szCs w:val="18"/>
        </w:rPr>
        <w:t>n</w:t>
      </w:r>
      <w:r w:rsidRPr="00880C7E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= 9</w:t>
      </w:r>
    </w:p>
    <w:p w:rsidR="0011792D" w:rsidRPr="00EC30DC" w:rsidRDefault="0011792D" w:rsidP="0011792D">
      <w:pPr>
        <w:pStyle w:val="Koptekst"/>
        <w:tabs>
          <w:tab w:val="clear" w:pos="4680"/>
          <w:tab w:val="clear" w:pos="9360"/>
        </w:tabs>
        <w:spacing w:line="360" w:lineRule="auto"/>
        <w:ind w:left="0" w:firstLine="0"/>
        <w:rPr>
          <w:rFonts w:ascii="Times New Roman" w:hAnsi="Times New Roman" w:cs="Times New Roman"/>
          <w:lang w:val="en-GB"/>
        </w:rPr>
      </w:pPr>
    </w:p>
    <w:p w:rsidR="0011792D" w:rsidRDefault="0011792D" w:rsidP="0011792D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br w:type="page"/>
      </w:r>
    </w:p>
    <w:p w:rsidR="0011792D" w:rsidRPr="00846EBA" w:rsidRDefault="0011792D" w:rsidP="0011792D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846EBA">
        <w:rPr>
          <w:rFonts w:ascii="Times New Roman" w:eastAsia="Times New Roman" w:hAnsi="Times New Roman" w:cs="Times New Roman"/>
          <w:b/>
          <w:lang w:val="en-GB"/>
        </w:rPr>
        <w:lastRenderedPageBreak/>
        <w:t xml:space="preserve">Supplemental table </w:t>
      </w:r>
      <w:r>
        <w:rPr>
          <w:rFonts w:ascii="Times New Roman" w:eastAsia="Times New Roman" w:hAnsi="Times New Roman" w:cs="Times New Roman"/>
          <w:lang w:val="en-GB"/>
        </w:rPr>
        <w:t>3</w:t>
      </w:r>
      <w:r w:rsidRPr="00846EBA">
        <w:rPr>
          <w:rFonts w:ascii="Times New Roman" w:eastAsia="Times New Roman" w:hAnsi="Times New Roman" w:cs="Times New Roman"/>
          <w:lang w:val="en-GB"/>
        </w:rPr>
        <w:t xml:space="preserve"> Incidence of TEAEs by treatment</w:t>
      </w:r>
      <w:r w:rsidRPr="00846EBA" w:rsidDel="0012265D">
        <w:rPr>
          <w:rFonts w:ascii="Times New Roman" w:eastAsia="Times New Roman" w:hAnsi="Times New Roman" w:cs="Times New Roman"/>
          <w:lang w:val="en-GB"/>
        </w:rPr>
        <w:t xml:space="preserve"> </w:t>
      </w:r>
      <w:r w:rsidRPr="00846EBA">
        <w:rPr>
          <w:rFonts w:ascii="Times New Roman" w:eastAsia="Times New Roman" w:hAnsi="Times New Roman" w:cs="Times New Roman"/>
          <w:lang w:val="en-GB"/>
        </w:rPr>
        <w:t>(safety population)</w:t>
      </w:r>
    </w:p>
    <w:tbl>
      <w:tblPr>
        <w:tblW w:w="488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2525"/>
        <w:gridCol w:w="1571"/>
        <w:gridCol w:w="11"/>
        <w:gridCol w:w="1756"/>
        <w:gridCol w:w="1785"/>
        <w:gridCol w:w="1708"/>
      </w:tblGrid>
      <w:tr w:rsidR="0011792D" w:rsidRPr="00846EBA" w:rsidTr="00A07CF1">
        <w:tc>
          <w:tcPr>
            <w:tcW w:w="2525" w:type="dxa"/>
            <w:shd w:val="clear" w:color="auto" w:fill="FFFFFF" w:themeFill="background1"/>
          </w:tcPr>
          <w:p w:rsidR="0011792D" w:rsidRPr="009A7B0E" w:rsidRDefault="0011792D" w:rsidP="00A07CF1">
            <w:pPr>
              <w:spacing w:before="200" w:line="276" w:lineRule="auto"/>
              <w:ind w:left="0"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9A7B0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Adverse event category</w:t>
            </w:r>
          </w:p>
        </w:tc>
        <w:tc>
          <w:tcPr>
            <w:tcW w:w="1571" w:type="dxa"/>
            <w:shd w:val="clear" w:color="auto" w:fill="FFFFFF" w:themeFill="background1"/>
          </w:tcPr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Febuxostat</w:t>
            </w:r>
          </w:p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40 mg</w:t>
            </w:r>
          </w:p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(n=61)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Febuxostat</w:t>
            </w:r>
          </w:p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80 mg</w:t>
            </w:r>
          </w:p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(n=51)</w:t>
            </w:r>
          </w:p>
        </w:tc>
        <w:tc>
          <w:tcPr>
            <w:tcW w:w="1785" w:type="dxa"/>
            <w:shd w:val="clear" w:color="auto" w:fill="FFFFFF" w:themeFill="background1"/>
          </w:tcPr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Overall verinurad + febuxostat combination</w:t>
            </w:r>
          </w:p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(n=62)</w:t>
            </w:r>
          </w:p>
        </w:tc>
        <w:tc>
          <w:tcPr>
            <w:tcW w:w="1708" w:type="dxa"/>
            <w:shd w:val="clear" w:color="auto" w:fill="FFFFFF" w:themeFill="background1"/>
          </w:tcPr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Overall</w:t>
            </w:r>
          </w:p>
          <w:p w:rsidR="0011792D" w:rsidRPr="00846EBA" w:rsidRDefault="0011792D" w:rsidP="00A07CF1">
            <w:pPr>
              <w:keepNext/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(N=64)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Subjects with TEAEs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 (4.9%) [3]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 (15.7%) [8]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 (21.0%) [19]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 (31.3%) [30]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Any serious AE</w:t>
            </w:r>
          </w:p>
        </w:tc>
        <w:tc>
          <w:tcPr>
            <w:tcW w:w="1582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Any TEAE possibly related to verinurad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(1.6%) [1]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(2.0%) [1]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 (4.8%) [3]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 (7.8%) [5]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Any TEAE possibly related to febuxostat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(1.6%) [1]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 (9.8%) [5]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(3.2%) [2]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 (10.9%) [8]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Individual TEAEs in &gt;1 subject</w:t>
            </w:r>
          </w:p>
        </w:tc>
        <w:tc>
          <w:tcPr>
            <w:tcW w:w="6831" w:type="dxa"/>
            <w:gridSpan w:val="5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tabs>
                <w:tab w:val="left" w:pos="387"/>
              </w:tabs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ab/>
              <w:t>Pain In extremity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 (4.8%) [3]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 (4.7%) [3]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tabs>
                <w:tab w:val="left" w:pos="342"/>
              </w:tabs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ab/>
              <w:t>Dyspepsia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(1.6%) [1]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(3.2%) [2]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(3.1%) [2]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tabs>
                <w:tab w:val="left" w:pos="327"/>
              </w:tabs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ab/>
              <w:t>Headache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(2.0%) [1]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(1.6%) [1]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(3.1%) [2]</w:t>
            </w:r>
          </w:p>
        </w:tc>
      </w:tr>
      <w:tr w:rsidR="0011792D" w:rsidRPr="00846EBA" w:rsidTr="00A07CF1">
        <w:tc>
          <w:tcPr>
            <w:tcW w:w="252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tabs>
                <w:tab w:val="left" w:pos="387"/>
              </w:tabs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ab/>
              <w:t>Musculoskeletal pain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(3.2%) [2]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11792D" w:rsidRPr="00846EBA" w:rsidRDefault="0011792D" w:rsidP="00A07CF1">
            <w:p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6EB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(3.1%) [2]</w:t>
            </w:r>
          </w:p>
        </w:tc>
      </w:tr>
    </w:tbl>
    <w:p w:rsidR="0011792D" w:rsidRPr="00846EBA" w:rsidRDefault="0011792D" w:rsidP="0011792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1792D" w:rsidRPr="00846EBA" w:rsidRDefault="0011792D" w:rsidP="0011792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46EBA">
        <w:rPr>
          <w:rFonts w:ascii="Times New Roman" w:eastAsia="Times New Roman" w:hAnsi="Times New Roman" w:cs="Times New Roman"/>
          <w:sz w:val="20"/>
          <w:szCs w:val="20"/>
          <w:lang w:val="en-GB"/>
        </w:rPr>
        <w:t>AE, adverse event; RCTC, Rheumatology Common Toxicity Criteria; TEAEs, treatment emergent AEs.</w:t>
      </w:r>
    </w:p>
    <w:p w:rsidR="0011792D" w:rsidRDefault="0011792D" w:rsidP="0011792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46EBA">
        <w:rPr>
          <w:rFonts w:ascii="Times New Roman" w:eastAsia="Times New Roman" w:hAnsi="Times New Roman" w:cs="Times New Roman"/>
          <w:sz w:val="20"/>
          <w:szCs w:val="20"/>
          <w:lang w:val="en-GB"/>
        </w:rPr>
        <w:t>n=number of subjects studied; ( )=percent of subjects with AEs; [ ]=number of AEs.</w:t>
      </w:r>
    </w:p>
    <w:p w:rsidR="0011792D" w:rsidRDefault="0011792D" w:rsidP="0011792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45C1F" w:rsidRDefault="00C45C1F"/>
    <w:sectPr w:rsidR="00C45C1F" w:rsidSect="000E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0C" w:rsidRDefault="001E430C" w:rsidP="009A7B0E">
      <w:pPr>
        <w:spacing w:line="240" w:lineRule="auto"/>
      </w:pPr>
      <w:r>
        <w:separator/>
      </w:r>
    </w:p>
  </w:endnote>
  <w:endnote w:type="continuationSeparator" w:id="0">
    <w:p w:rsidR="001E430C" w:rsidRDefault="001E430C" w:rsidP="009A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E" w:rsidRDefault="009A7B0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E" w:rsidRDefault="009A7B0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E" w:rsidRDefault="009A7B0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0C" w:rsidRDefault="001E430C" w:rsidP="009A7B0E">
      <w:pPr>
        <w:spacing w:line="240" w:lineRule="auto"/>
      </w:pPr>
      <w:r>
        <w:separator/>
      </w:r>
    </w:p>
  </w:footnote>
  <w:footnote w:type="continuationSeparator" w:id="0">
    <w:p w:rsidR="001E430C" w:rsidRDefault="001E430C" w:rsidP="009A7B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E" w:rsidRDefault="009A7B0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E" w:rsidRDefault="009A7B0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E" w:rsidRDefault="009A7B0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792D"/>
    <w:rsid w:val="000E7E86"/>
    <w:rsid w:val="0011792D"/>
    <w:rsid w:val="001E430C"/>
    <w:rsid w:val="002B3FF3"/>
    <w:rsid w:val="00436164"/>
    <w:rsid w:val="006455A5"/>
    <w:rsid w:val="00837A9E"/>
    <w:rsid w:val="008D47A3"/>
    <w:rsid w:val="009A7B0E"/>
    <w:rsid w:val="00A62E54"/>
    <w:rsid w:val="00BF6936"/>
    <w:rsid w:val="00C45C1F"/>
    <w:rsid w:val="00C80954"/>
    <w:rsid w:val="00D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92D"/>
    <w:pPr>
      <w:spacing w:after="0" w:line="360" w:lineRule="auto"/>
      <w:ind w:left="179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92D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792D"/>
  </w:style>
  <w:style w:type="paragraph" w:styleId="Ballontekst">
    <w:name w:val="Balloon Text"/>
    <w:basedOn w:val="Standaard"/>
    <w:link w:val="BallontekstChar"/>
    <w:uiPriority w:val="99"/>
    <w:semiHidden/>
    <w:unhideWhenUsed/>
    <w:rsid w:val="00117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92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A7B0E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2D"/>
    <w:pPr>
      <w:spacing w:after="0" w:line="360" w:lineRule="auto"/>
      <w:ind w:left="179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9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2D"/>
  </w:style>
  <w:style w:type="paragraph" w:styleId="BalloonText">
    <w:name w:val="Balloon Text"/>
    <w:basedOn w:val="Normal"/>
    <w:link w:val="BalloonTextChar"/>
    <w:uiPriority w:val="99"/>
    <w:semiHidden/>
    <w:unhideWhenUsed/>
    <w:rsid w:val="00117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7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2018-03-09T09:19:00Z</dcterms:created>
  <dcterms:modified xsi:type="dcterms:W3CDTF">2018-03-09T09:19:00Z</dcterms:modified>
</cp:coreProperties>
</file>