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4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3260"/>
        <w:gridCol w:w="709"/>
        <w:gridCol w:w="1134"/>
        <w:gridCol w:w="709"/>
        <w:gridCol w:w="709"/>
        <w:gridCol w:w="1275"/>
        <w:gridCol w:w="709"/>
        <w:gridCol w:w="709"/>
        <w:gridCol w:w="980"/>
        <w:gridCol w:w="697"/>
        <w:gridCol w:w="841"/>
        <w:gridCol w:w="1169"/>
        <w:gridCol w:w="697"/>
      </w:tblGrid>
      <w:tr w:rsidR="00693923" w:rsidRPr="00EC7A91" w:rsidTr="003A42A1">
        <w:tc>
          <w:tcPr>
            <w:tcW w:w="14307" w:type="dxa"/>
            <w:gridSpan w:val="14"/>
            <w:tcBorders>
              <w:bottom w:val="single" w:sz="4" w:space="0" w:color="auto"/>
            </w:tcBorders>
          </w:tcPr>
          <w:p w:rsidR="00693923" w:rsidRPr="00A9426B" w:rsidRDefault="00693923" w:rsidP="003A42A1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br w:type="page"/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SUPPLEMENTARY MATERIAL</w:t>
            </w:r>
          </w:p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Supplementary Table 1.</w:t>
            </w:r>
            <w:r w:rsidR="00B3478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Adjusted</w:t>
            </w: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longitudinal regression of clinical parameters </w:t>
            </w:r>
            <w:r w:rsidR="006C49B7">
              <w:rPr>
                <w:rFonts w:asciiTheme="minorHAnsi" w:hAnsiTheme="minorHAnsi"/>
                <w:sz w:val="16"/>
                <w:szCs w:val="16"/>
                <w:lang w:val="en-US"/>
              </w:rPr>
              <w:t>on depressed mood, daily stressors</w:t>
            </w: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, avoidance coping and social support</w:t>
            </w:r>
          </w:p>
        </w:tc>
      </w:tr>
      <w:tr w:rsidR="00693923" w:rsidRPr="00A9426B" w:rsidTr="003A42A1">
        <w:tc>
          <w:tcPr>
            <w:tcW w:w="709" w:type="dxa"/>
            <w:tcBorders>
              <w:top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VAS pain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VAS morning stiffness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</w:tcBorders>
          </w:tcPr>
          <w:p w:rsidR="00693923" w:rsidRPr="00A9426B" w:rsidRDefault="00EC7A91" w:rsidP="003A42A1">
            <w:pPr>
              <w:pStyle w:val="Geenafstand"/>
              <w:spacing w:line="480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Tender Joint C</w:t>
            </w:r>
            <w:r w:rsidR="00693923"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ount 53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</w:tcBorders>
          </w:tcPr>
          <w:p w:rsidR="00693923" w:rsidRPr="00A9426B" w:rsidRDefault="00693923" w:rsidP="00EC7A91">
            <w:pPr>
              <w:pStyle w:val="Geenafstand"/>
              <w:spacing w:line="480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Erythrocyte </w:t>
            </w:r>
            <w:r w:rsidR="00EC7A9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Sedimentation R</w:t>
            </w: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ate</w:t>
            </w:r>
          </w:p>
        </w:tc>
      </w:tr>
      <w:tr w:rsidR="00693923" w:rsidRPr="00A9426B" w:rsidTr="003A42A1">
        <w:tc>
          <w:tcPr>
            <w:tcW w:w="709" w:type="dxa"/>
            <w:tcBorders>
              <w:bottom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Independent variables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proofErr w:type="spellStart"/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obs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proofErr w:type="spellStart"/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obs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RR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proofErr w:type="spellStart"/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obs</w:t>
            </w:r>
            <w:proofErr w:type="spellEnd"/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Exp (B)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proofErr w:type="spellStart"/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obs</w:t>
            </w:r>
            <w:proofErr w:type="spellEnd"/>
          </w:p>
        </w:tc>
      </w:tr>
      <w:tr w:rsidR="00693923" w:rsidRPr="00A9426B" w:rsidTr="003A42A1">
        <w:tc>
          <w:tcPr>
            <w:tcW w:w="709" w:type="dxa"/>
            <w:tcBorders>
              <w:top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Depressed mood (HADS depression score)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2.3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1.6, 3.1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874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4.2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1.3, 7.1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1.06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1.03, 1.09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882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1.01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0.99, 1.03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810</w:t>
            </w:r>
          </w:p>
        </w:tc>
      </w:tr>
      <w:tr w:rsidR="00693923" w:rsidRPr="00A9426B" w:rsidTr="003A42A1"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693923" w:rsidRPr="00A9426B" w:rsidRDefault="00693923" w:rsidP="003A42A1">
            <w:pPr>
              <w:pStyle w:val="Geenafstand"/>
              <w:tabs>
                <w:tab w:val="left" w:pos="209"/>
              </w:tabs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Between-subject effect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 2.6</w:t>
            </w:r>
          </w:p>
        </w:tc>
        <w:tc>
          <w:tcPr>
            <w:tcW w:w="1134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 1.8, 3.5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 4.8</w:t>
            </w:r>
          </w:p>
        </w:tc>
        <w:tc>
          <w:tcPr>
            <w:tcW w:w="1275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 1.4, 8.1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 1.08</w:t>
            </w:r>
          </w:p>
        </w:tc>
        <w:tc>
          <w:tcPr>
            <w:tcW w:w="980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 1.04, 1.12</w:t>
            </w:r>
          </w:p>
        </w:tc>
        <w:tc>
          <w:tcPr>
            <w:tcW w:w="697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841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1.02</w:t>
            </w:r>
          </w:p>
        </w:tc>
        <w:tc>
          <w:tcPr>
            <w:tcW w:w="116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0.99, 1.05</w:t>
            </w:r>
          </w:p>
        </w:tc>
        <w:tc>
          <w:tcPr>
            <w:tcW w:w="697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693923" w:rsidRPr="00A9426B" w:rsidTr="003A42A1"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Within- subject effect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 1.5</w:t>
            </w:r>
          </w:p>
        </w:tc>
        <w:tc>
          <w:tcPr>
            <w:tcW w:w="1134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 0.1, 3.0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2.2</w:t>
            </w:r>
          </w:p>
        </w:tc>
        <w:tc>
          <w:tcPr>
            <w:tcW w:w="1275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-4.2, 8.5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1.03</w:t>
            </w:r>
          </w:p>
        </w:tc>
        <w:tc>
          <w:tcPr>
            <w:tcW w:w="980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0.98, 1.08</w:t>
            </w:r>
          </w:p>
        </w:tc>
        <w:tc>
          <w:tcPr>
            <w:tcW w:w="697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841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1.00</w:t>
            </w:r>
          </w:p>
        </w:tc>
        <w:tc>
          <w:tcPr>
            <w:tcW w:w="116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0.98, 1.03</w:t>
            </w:r>
          </w:p>
        </w:tc>
        <w:tc>
          <w:tcPr>
            <w:tcW w:w="697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693923" w:rsidRPr="00A9426B" w:rsidTr="003A42A1"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75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980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97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41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6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97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</w:tr>
      <w:tr w:rsidR="00693923" w:rsidRPr="00A9426B" w:rsidTr="003A42A1"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3260" w:type="dxa"/>
          </w:tcPr>
          <w:p w:rsidR="00693923" w:rsidRPr="00A9426B" w:rsidRDefault="006C49B7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Daily stressors</w:t>
            </w:r>
            <w:bookmarkStart w:id="0" w:name="_GoBack"/>
            <w:bookmarkEnd w:id="0"/>
            <w:r w:rsidR="00693923"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(EPCL frequency score)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0.5</w:t>
            </w:r>
          </w:p>
        </w:tc>
        <w:tc>
          <w:tcPr>
            <w:tcW w:w="1134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0.1, 0.9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880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0.5</w:t>
            </w:r>
          </w:p>
        </w:tc>
        <w:tc>
          <w:tcPr>
            <w:tcW w:w="1275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-1.1, 2.0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886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1.01</w:t>
            </w:r>
          </w:p>
        </w:tc>
        <w:tc>
          <w:tcPr>
            <w:tcW w:w="980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0.99, 1.02</w:t>
            </w:r>
          </w:p>
        </w:tc>
        <w:tc>
          <w:tcPr>
            <w:tcW w:w="697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888</w:t>
            </w:r>
          </w:p>
        </w:tc>
        <w:tc>
          <w:tcPr>
            <w:tcW w:w="841" w:type="dxa"/>
            <w:shd w:val="clear" w:color="auto" w:fill="auto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169" w:type="dxa"/>
            <w:shd w:val="clear" w:color="auto" w:fill="auto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0.99, 1.01</w:t>
            </w:r>
          </w:p>
        </w:tc>
        <w:tc>
          <w:tcPr>
            <w:tcW w:w="697" w:type="dxa"/>
            <w:shd w:val="clear" w:color="auto" w:fill="auto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816</w:t>
            </w:r>
          </w:p>
        </w:tc>
      </w:tr>
      <w:tr w:rsidR="00693923" w:rsidRPr="00A9426B" w:rsidTr="003A42A1"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:rsidR="00693923" w:rsidRPr="00A9426B" w:rsidRDefault="00693923" w:rsidP="003A42A1">
            <w:pPr>
              <w:pStyle w:val="Geenafstand"/>
              <w:tabs>
                <w:tab w:val="left" w:pos="209"/>
              </w:tabs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Between-subject effect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 0.7</w:t>
            </w:r>
          </w:p>
        </w:tc>
        <w:tc>
          <w:tcPr>
            <w:tcW w:w="1134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 0.2, 1.2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0.04</w:t>
            </w:r>
          </w:p>
        </w:tc>
        <w:tc>
          <w:tcPr>
            <w:tcW w:w="1275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-1.7, 1.8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1.01</w:t>
            </w:r>
          </w:p>
        </w:tc>
        <w:tc>
          <w:tcPr>
            <w:tcW w:w="980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0.99, 1.04</w:t>
            </w:r>
          </w:p>
        </w:tc>
        <w:tc>
          <w:tcPr>
            <w:tcW w:w="697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41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1.01</w:t>
            </w:r>
          </w:p>
        </w:tc>
        <w:tc>
          <w:tcPr>
            <w:tcW w:w="116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1.00, 1.03</w:t>
            </w:r>
          </w:p>
        </w:tc>
        <w:tc>
          <w:tcPr>
            <w:tcW w:w="697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</w:tr>
      <w:tr w:rsidR="00693923" w:rsidRPr="00A9426B" w:rsidTr="003A42A1"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Within- subject effect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0.1</w:t>
            </w:r>
          </w:p>
        </w:tc>
        <w:tc>
          <w:tcPr>
            <w:tcW w:w="1134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-0.6, 0.8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1.6</w:t>
            </w:r>
          </w:p>
        </w:tc>
        <w:tc>
          <w:tcPr>
            <w:tcW w:w="1275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-1.4, 4.6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0.99</w:t>
            </w:r>
          </w:p>
        </w:tc>
        <w:tc>
          <w:tcPr>
            <w:tcW w:w="980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0.97, 1.02</w:t>
            </w:r>
          </w:p>
        </w:tc>
        <w:tc>
          <w:tcPr>
            <w:tcW w:w="697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41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1.00</w:t>
            </w:r>
          </w:p>
        </w:tc>
        <w:tc>
          <w:tcPr>
            <w:tcW w:w="116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0.98, 1.01</w:t>
            </w:r>
          </w:p>
        </w:tc>
        <w:tc>
          <w:tcPr>
            <w:tcW w:w="697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</w:tr>
      <w:tr w:rsidR="00693923" w:rsidRPr="00A9426B" w:rsidTr="003A42A1"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75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980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97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41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6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97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</w:tr>
      <w:tr w:rsidR="00693923" w:rsidRPr="00A9426B" w:rsidTr="003A42A1"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3260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Avoidance coping (UCL avoidance score)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0.4</w:t>
            </w:r>
          </w:p>
        </w:tc>
        <w:tc>
          <w:tcPr>
            <w:tcW w:w="1134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-0.6, 1.4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871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-0.5</w:t>
            </w:r>
          </w:p>
        </w:tc>
        <w:tc>
          <w:tcPr>
            <w:tcW w:w="1275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-4.1, 3.2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877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1.03</w:t>
            </w:r>
          </w:p>
        </w:tc>
        <w:tc>
          <w:tcPr>
            <w:tcW w:w="980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0.99, 1.07</w:t>
            </w:r>
          </w:p>
        </w:tc>
        <w:tc>
          <w:tcPr>
            <w:tcW w:w="697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879</w:t>
            </w:r>
          </w:p>
        </w:tc>
        <w:tc>
          <w:tcPr>
            <w:tcW w:w="841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0.99</w:t>
            </w:r>
          </w:p>
        </w:tc>
        <w:tc>
          <w:tcPr>
            <w:tcW w:w="116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0.97, 1.01</w:t>
            </w:r>
          </w:p>
        </w:tc>
        <w:tc>
          <w:tcPr>
            <w:tcW w:w="697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807</w:t>
            </w:r>
          </w:p>
        </w:tc>
      </w:tr>
      <w:tr w:rsidR="00693923" w:rsidRPr="00A9426B" w:rsidTr="003A42A1"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:rsidR="00693923" w:rsidRPr="00A9426B" w:rsidRDefault="00693923" w:rsidP="003A42A1">
            <w:pPr>
              <w:pStyle w:val="Geenafstand"/>
              <w:tabs>
                <w:tab w:val="left" w:pos="209"/>
              </w:tabs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Between-subject effect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0.98</w:t>
            </w:r>
          </w:p>
        </w:tc>
        <w:tc>
          <w:tcPr>
            <w:tcW w:w="1134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-0.2, 2.2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0.2</w:t>
            </w:r>
          </w:p>
        </w:tc>
        <w:tc>
          <w:tcPr>
            <w:tcW w:w="1275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-4.2, 4.5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1.01</w:t>
            </w:r>
          </w:p>
        </w:tc>
        <w:tc>
          <w:tcPr>
            <w:tcW w:w="980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0.97, 1.06</w:t>
            </w:r>
          </w:p>
        </w:tc>
        <w:tc>
          <w:tcPr>
            <w:tcW w:w="697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841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1.00</w:t>
            </w:r>
          </w:p>
        </w:tc>
        <w:tc>
          <w:tcPr>
            <w:tcW w:w="116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0.97, 1.04</w:t>
            </w:r>
          </w:p>
        </w:tc>
        <w:tc>
          <w:tcPr>
            <w:tcW w:w="697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693923" w:rsidRPr="00A9426B" w:rsidTr="003A42A1"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Within- subject effect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-0.6</w:t>
            </w:r>
          </w:p>
        </w:tc>
        <w:tc>
          <w:tcPr>
            <w:tcW w:w="1134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-2.2, 1.0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-2.0</w:t>
            </w:r>
          </w:p>
        </w:tc>
        <w:tc>
          <w:tcPr>
            <w:tcW w:w="1275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-8.9, 4.9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1.05</w:t>
            </w:r>
          </w:p>
        </w:tc>
        <w:tc>
          <w:tcPr>
            <w:tcW w:w="980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0.99, 1.12</w:t>
            </w:r>
          </w:p>
        </w:tc>
        <w:tc>
          <w:tcPr>
            <w:tcW w:w="697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841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0.98</w:t>
            </w:r>
          </w:p>
        </w:tc>
        <w:tc>
          <w:tcPr>
            <w:tcW w:w="116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0.96, 1.01</w:t>
            </w:r>
          </w:p>
        </w:tc>
        <w:tc>
          <w:tcPr>
            <w:tcW w:w="697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693923" w:rsidRPr="00A9426B" w:rsidTr="003A42A1"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75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980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97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41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6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97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</w:tr>
      <w:tr w:rsidR="00693923" w:rsidRPr="00A9426B" w:rsidTr="003A42A1"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3260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Social support (IRGL perceived support score)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-2.0</w:t>
            </w:r>
          </w:p>
        </w:tc>
        <w:tc>
          <w:tcPr>
            <w:tcW w:w="1134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-2.8, -1.2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880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-4.4</w:t>
            </w:r>
          </w:p>
        </w:tc>
        <w:tc>
          <w:tcPr>
            <w:tcW w:w="1275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-7.5, -1.3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886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0.93</w:t>
            </w:r>
          </w:p>
        </w:tc>
        <w:tc>
          <w:tcPr>
            <w:tcW w:w="980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0.90, 0.96</w:t>
            </w:r>
          </w:p>
        </w:tc>
        <w:tc>
          <w:tcPr>
            <w:tcW w:w="697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888</w:t>
            </w:r>
          </w:p>
        </w:tc>
        <w:tc>
          <w:tcPr>
            <w:tcW w:w="841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16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0.98, 1.02</w:t>
            </w:r>
          </w:p>
        </w:tc>
        <w:tc>
          <w:tcPr>
            <w:tcW w:w="697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>815</w:t>
            </w:r>
          </w:p>
        </w:tc>
      </w:tr>
      <w:tr w:rsidR="00693923" w:rsidRPr="00A9426B" w:rsidTr="003A42A1"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:rsidR="00693923" w:rsidRPr="00A9426B" w:rsidRDefault="00693923" w:rsidP="003A42A1">
            <w:pPr>
              <w:pStyle w:val="Geenafstand"/>
              <w:tabs>
                <w:tab w:val="left" w:pos="209"/>
              </w:tabs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Between-subject effect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-2.2</w:t>
            </w:r>
          </w:p>
        </w:tc>
        <w:tc>
          <w:tcPr>
            <w:tcW w:w="1134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-3.2, -1.2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-3.7</w:t>
            </w:r>
          </w:p>
        </w:tc>
        <w:tc>
          <w:tcPr>
            <w:tcW w:w="1275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-7.4, -0.05</w:t>
            </w: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 0.93</w:t>
            </w:r>
          </w:p>
        </w:tc>
        <w:tc>
          <w:tcPr>
            <w:tcW w:w="980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 0.89, 0.96</w:t>
            </w:r>
          </w:p>
        </w:tc>
        <w:tc>
          <w:tcPr>
            <w:tcW w:w="697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841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0.99</w:t>
            </w:r>
          </w:p>
        </w:tc>
        <w:tc>
          <w:tcPr>
            <w:tcW w:w="1169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0.96, 1.02</w:t>
            </w:r>
          </w:p>
        </w:tc>
        <w:tc>
          <w:tcPr>
            <w:tcW w:w="697" w:type="dxa"/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693923" w:rsidRPr="00A9426B" w:rsidTr="003A42A1">
        <w:tc>
          <w:tcPr>
            <w:tcW w:w="709" w:type="dxa"/>
            <w:tcBorders>
              <w:bottom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Within- subject effect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-1.5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-2.8, -0.2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-6.1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-12.0, -0.3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 0.94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 0.90, 0.99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1.01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426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0.98, 1.03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93923" w:rsidRPr="00A9426B" w:rsidRDefault="00693923" w:rsidP="003A42A1">
            <w:pPr>
              <w:pStyle w:val="Geenafstand"/>
              <w:spacing w:line="48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</w:tbl>
    <w:p w:rsidR="00B34785" w:rsidRPr="00B34785" w:rsidRDefault="00B34785" w:rsidP="00B34785">
      <w:pPr>
        <w:pStyle w:val="Geenafstand"/>
        <w:spacing w:line="480" w:lineRule="auto"/>
        <w:rPr>
          <w:sz w:val="16"/>
          <w:szCs w:val="16"/>
          <w:lang w:val="en-US"/>
        </w:rPr>
      </w:pPr>
      <w:r w:rsidRPr="00B34785">
        <w:rPr>
          <w:sz w:val="16"/>
          <w:szCs w:val="16"/>
          <w:lang w:val="en-US"/>
        </w:rPr>
        <w:t>B = regression coefficient</w:t>
      </w:r>
      <w:r>
        <w:rPr>
          <w:sz w:val="16"/>
          <w:szCs w:val="16"/>
          <w:lang w:val="en-US"/>
        </w:rPr>
        <w:t xml:space="preserve"> adjusted for </w:t>
      </w:r>
      <w:r w:rsidRPr="00B34785">
        <w:rPr>
          <w:sz w:val="16"/>
          <w:szCs w:val="16"/>
          <w:lang w:val="en-US"/>
        </w:rPr>
        <w:t>age, gender and symptom duration; analyzed with Tobit mixed model analyses taking into account left censoring. RR = Rate Ratio</w:t>
      </w:r>
      <w:r>
        <w:rPr>
          <w:sz w:val="16"/>
          <w:szCs w:val="16"/>
          <w:lang w:val="en-US"/>
        </w:rPr>
        <w:t xml:space="preserve"> adjusted for </w:t>
      </w:r>
      <w:r w:rsidRPr="00B34785">
        <w:rPr>
          <w:sz w:val="16"/>
          <w:szCs w:val="16"/>
          <w:lang w:val="en-US"/>
        </w:rPr>
        <w:t>age, gender and symptom duration; analyzed with negative binomial mixed models taking into account left censoring in a variable in which a score of zero really means zero. Exp(B) = Exponent (regression coefficient)</w:t>
      </w:r>
      <w:r>
        <w:rPr>
          <w:sz w:val="16"/>
          <w:szCs w:val="16"/>
          <w:lang w:val="en-US"/>
        </w:rPr>
        <w:t xml:space="preserve"> adjusted for </w:t>
      </w:r>
      <w:r w:rsidRPr="00B34785">
        <w:rPr>
          <w:sz w:val="16"/>
          <w:szCs w:val="16"/>
          <w:lang w:val="en-US"/>
        </w:rPr>
        <w:t>age, gender and symptom duration; analyzed with linear mixed models in which erythrocyte sedimentation rate (ESR) was log transformed (ln [ESR]), because of skewness to the right.</w:t>
      </w:r>
    </w:p>
    <w:p w:rsidR="00B34785" w:rsidRPr="00B34785" w:rsidRDefault="00B34785" w:rsidP="00B34785">
      <w:pPr>
        <w:pStyle w:val="Geenafstand"/>
        <w:spacing w:line="480" w:lineRule="auto"/>
        <w:rPr>
          <w:sz w:val="16"/>
          <w:szCs w:val="16"/>
          <w:lang w:val="en-US"/>
        </w:rPr>
      </w:pPr>
      <w:r w:rsidRPr="00B34785">
        <w:rPr>
          <w:sz w:val="16"/>
          <w:szCs w:val="16"/>
          <w:lang w:val="en-US"/>
        </w:rPr>
        <w:lastRenderedPageBreak/>
        <w:t xml:space="preserve">Hybrid mixed models were used to split the B's and RR's into a between-subject (i.e. cross-sectional) and within-subject (i.e. longitudinal) effect. The between-subject effect shows the difference in the outcome variable between two patients having a one-unit difference in the independent variable. The within-subject effect shows the increase in the outcome variable within one patient when the independent variable increases with one unit. </w:t>
      </w:r>
    </w:p>
    <w:p w:rsidR="00B34785" w:rsidRPr="00B34785" w:rsidRDefault="00B34785" w:rsidP="00B34785">
      <w:pPr>
        <w:pStyle w:val="Geenafstand"/>
        <w:spacing w:line="480" w:lineRule="auto"/>
        <w:rPr>
          <w:sz w:val="16"/>
          <w:szCs w:val="16"/>
          <w:lang w:val="en-US"/>
        </w:rPr>
      </w:pPr>
      <w:r w:rsidRPr="00B34785">
        <w:rPr>
          <w:sz w:val="16"/>
          <w:szCs w:val="16"/>
          <w:lang w:val="en-US"/>
        </w:rPr>
        <w:t xml:space="preserve">EPCL = Everyday Problem Checklist; HADS = Hospital Anxiety and Depression scale; IRGL = Impact of Rheumatic diseases on General Health and Lifestyle; </w:t>
      </w:r>
      <w:proofErr w:type="spellStart"/>
      <w:r w:rsidRPr="00B34785">
        <w:rPr>
          <w:sz w:val="16"/>
          <w:szCs w:val="16"/>
          <w:lang w:val="en-US"/>
        </w:rPr>
        <w:t>Obs</w:t>
      </w:r>
      <w:proofErr w:type="spellEnd"/>
      <w:r w:rsidRPr="00B34785">
        <w:rPr>
          <w:sz w:val="16"/>
          <w:szCs w:val="16"/>
          <w:lang w:val="en-US"/>
        </w:rPr>
        <w:t xml:space="preserve"> = number of observations of the outcome used in analysis; UCL = Utrecht Coping List; VAS = visual analogue scale; 95% CI = 95% confidence interval.</w:t>
      </w:r>
    </w:p>
    <w:p w:rsidR="00BC5951" w:rsidRPr="00B34785" w:rsidRDefault="00B34785" w:rsidP="00B34785">
      <w:pPr>
        <w:pStyle w:val="Geenafstand"/>
        <w:spacing w:line="480" w:lineRule="auto"/>
        <w:rPr>
          <w:sz w:val="16"/>
          <w:szCs w:val="16"/>
          <w:lang w:val="en-US"/>
        </w:rPr>
      </w:pPr>
      <w:r w:rsidRPr="00B34785">
        <w:rPr>
          <w:sz w:val="16"/>
          <w:szCs w:val="16"/>
          <w:lang w:val="en-US"/>
        </w:rPr>
        <w:t xml:space="preserve">In </w:t>
      </w:r>
      <w:r w:rsidRPr="00B34785">
        <w:rPr>
          <w:b/>
          <w:sz w:val="16"/>
          <w:szCs w:val="16"/>
          <w:lang w:val="en-US"/>
        </w:rPr>
        <w:t xml:space="preserve">bold </w:t>
      </w:r>
      <w:r w:rsidRPr="00B34785">
        <w:rPr>
          <w:sz w:val="16"/>
          <w:szCs w:val="16"/>
          <w:lang w:val="en-US"/>
        </w:rPr>
        <w:t>statistically significant associations with a p-value &lt; 0.05.</w:t>
      </w:r>
    </w:p>
    <w:sectPr w:rsidR="00BC5951" w:rsidRPr="00B34785" w:rsidSect="00A9426B">
      <w:footerReference w:type="default" r:id="rId6"/>
      <w:pgSz w:w="16838" w:h="11906" w:orient="landscape"/>
      <w:pgMar w:top="1474" w:right="2381" w:bottom="1474" w:left="1474" w:header="70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89" w:rsidRDefault="00893289">
      <w:pPr>
        <w:spacing w:after="0" w:line="240" w:lineRule="auto"/>
      </w:pPr>
      <w:r>
        <w:separator/>
      </w:r>
    </w:p>
  </w:endnote>
  <w:endnote w:type="continuationSeparator" w:id="0">
    <w:p w:rsidR="00893289" w:rsidRDefault="0089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439955"/>
      <w:docPartObj>
        <w:docPartGallery w:val="Page Numbers (Bottom of Page)"/>
        <w:docPartUnique/>
      </w:docPartObj>
    </w:sdtPr>
    <w:sdtContent>
      <w:p w:rsidR="00C42A64" w:rsidRDefault="00B24DEA">
        <w:pPr>
          <w:pStyle w:val="Voettekst"/>
          <w:jc w:val="right"/>
        </w:pPr>
        <w:r>
          <w:fldChar w:fldCharType="begin"/>
        </w:r>
        <w:r w:rsidR="00693923">
          <w:instrText>PAGE   \* MERGEFORMAT</w:instrText>
        </w:r>
        <w:r>
          <w:fldChar w:fldCharType="separate"/>
        </w:r>
        <w:r w:rsidR="00EC7A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A64" w:rsidRDefault="0089328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89" w:rsidRDefault="00893289">
      <w:pPr>
        <w:spacing w:after="0" w:line="240" w:lineRule="auto"/>
      </w:pPr>
      <w:r>
        <w:separator/>
      </w:r>
    </w:p>
  </w:footnote>
  <w:footnote w:type="continuationSeparator" w:id="0">
    <w:p w:rsidR="00893289" w:rsidRDefault="00893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26B"/>
    <w:rsid w:val="0058582C"/>
    <w:rsid w:val="00674608"/>
    <w:rsid w:val="00693923"/>
    <w:rsid w:val="006C49B7"/>
    <w:rsid w:val="007535F0"/>
    <w:rsid w:val="00893289"/>
    <w:rsid w:val="00A9426B"/>
    <w:rsid w:val="00AC0904"/>
    <w:rsid w:val="00B24DEA"/>
    <w:rsid w:val="00B34785"/>
    <w:rsid w:val="00B91188"/>
    <w:rsid w:val="00D04CA7"/>
    <w:rsid w:val="00EC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4DEA"/>
    <w:pPr>
      <w:spacing w:line="260" w:lineRule="atLeast"/>
    </w:pPr>
    <w:rPr>
      <w:rFonts w:ascii="Calibri" w:hAnsi="Calibri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9426B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uiPriority w:val="99"/>
    <w:rsid w:val="00A9426B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A9426B"/>
    <w:rPr>
      <w:rFonts w:ascii="Calibri" w:eastAsia="Times New Roman" w:hAnsi="Calibri" w:cs="Times New Roman"/>
      <w:sz w:val="21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A9426B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A9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60" w:lineRule="atLeast"/>
    </w:pPr>
    <w:rPr>
      <w:rFonts w:ascii="Calibri" w:hAnsi="Calibri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9426B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A9426B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A9426B"/>
    <w:rPr>
      <w:rFonts w:ascii="Calibri" w:eastAsia="Times New Roman" w:hAnsi="Calibri" w:cs="Times New Roman"/>
      <w:sz w:val="21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A9426B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A94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Reade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Jasmijn Holla</dc:creator>
  <cp:lastModifiedBy>Marian</cp:lastModifiedBy>
  <cp:revision>3</cp:revision>
  <dcterms:created xsi:type="dcterms:W3CDTF">2018-06-11T19:17:00Z</dcterms:created>
  <dcterms:modified xsi:type="dcterms:W3CDTF">2018-06-13T09:43:00Z</dcterms:modified>
</cp:coreProperties>
</file>