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CF" w:rsidRPr="00090D0F" w:rsidRDefault="00955BCF" w:rsidP="00955BCF">
      <w:pPr>
        <w:pStyle w:val="NormalWeb"/>
        <w:rPr>
          <w:b/>
        </w:rPr>
      </w:pPr>
      <w:r w:rsidRPr="00090D0F">
        <w:rPr>
          <w:b/>
        </w:rPr>
        <w:t>Supplementary Material</w:t>
      </w:r>
    </w:p>
    <w:p w:rsidR="00955BCF" w:rsidRPr="00090D0F" w:rsidRDefault="00955BCF" w:rsidP="00955BCF">
      <w:pPr>
        <w:pStyle w:val="NormalWeb"/>
        <w:spacing w:after="0" w:line="480" w:lineRule="auto"/>
        <w:rPr>
          <w:i/>
        </w:rPr>
      </w:pPr>
      <w:r w:rsidRPr="00090D0F">
        <w:t>To correct the thickness measurements for oblique sectioning, we assume that the femoral head is considered as a sphere with a radius, and used the following equation:</w:t>
      </w:r>
      <w:r w:rsidRPr="00090D0F">
        <w:fldChar w:fldCharType="begin"/>
      </w:r>
      <w:r w:rsidRPr="00090D0F">
        <w:instrText xml:space="preserve"> QUOTE </w:instrTex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*sin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r-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</m:e>
        </m:d>
      </m:oMath>
      <w:r w:rsidRPr="00090D0F">
        <w:instrText xml:space="preserve"> </w:instrText>
      </w:r>
      <w:r w:rsidRPr="00090D0F">
        <w:fldChar w:fldCharType="end"/>
      </w:r>
    </w:p>
    <w:p w:rsidR="00955BCF" w:rsidRPr="00CE5778" w:rsidRDefault="00955BCF" w:rsidP="00955BCF">
      <w:pPr>
        <w:spacing w:after="0"/>
        <w:jc w:val="center"/>
      </w:pPr>
      <w:r w:rsidRPr="00090D0F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A880A95" wp14:editId="400ABE83">
            <wp:simplePos x="0" y="0"/>
            <wp:positionH relativeFrom="column">
              <wp:posOffset>5673725</wp:posOffset>
            </wp:positionH>
            <wp:positionV relativeFrom="paragraph">
              <wp:posOffset>5715</wp:posOffset>
            </wp:positionV>
            <wp:extent cx="192405" cy="215265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Th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>sin⁡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arccos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r- 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</m:e>
            </m:func>
          </m:e>
        </m:d>
      </m:oMath>
    </w:p>
    <w:p w:rsidR="00955BCF" w:rsidRPr="00090D0F" w:rsidRDefault="00955BCF" w:rsidP="00955BCF">
      <w:r w:rsidRPr="00090D0F">
        <w:t xml:space="preserve">Where </w:t>
      </w:r>
      <w:r w:rsidRPr="00090D0F">
        <w:rPr>
          <w:i/>
        </w:rPr>
        <w:t xml:space="preserve">n </w:t>
      </w:r>
      <w:r w:rsidRPr="00090D0F">
        <w:t>is the number of slices in the femoral head</w:t>
      </w:r>
      <w:r w:rsidRPr="00090D0F">
        <w:rPr>
          <w:i/>
        </w:rPr>
        <w:t xml:space="preserve"> </w:t>
      </w:r>
      <w:r w:rsidRPr="00090D0F">
        <w:t>and</w:t>
      </w:r>
      <w:r w:rsidRPr="00090D0F">
        <w:rPr>
          <w:i/>
        </w:rPr>
        <w:t xml:space="preserve"> </w:t>
      </w:r>
      <w:proofErr w:type="spellStart"/>
      <w:r w:rsidRPr="00090D0F">
        <w:rPr>
          <w:i/>
        </w:rPr>
        <w:t>T</w:t>
      </w:r>
      <w:r w:rsidRPr="00090D0F">
        <w:rPr>
          <w:i/>
          <w:vertAlign w:val="subscript"/>
        </w:rPr>
        <w:t>i</w:t>
      </w:r>
      <w:proofErr w:type="spellEnd"/>
      <w:r w:rsidRPr="00090D0F">
        <w:rPr>
          <w:i/>
        </w:rPr>
        <w:t xml:space="preserve"> </w:t>
      </w:r>
      <w:r w:rsidRPr="00090D0F">
        <w:t>is the measured tissue thickness,</w:t>
      </w:r>
      <w:r>
        <w:t xml:space="preserve"> </w:t>
      </w:r>
      <w:proofErr w:type="spellStart"/>
      <w:r w:rsidRPr="002C5FCC">
        <w:rPr>
          <w:i/>
        </w:rPr>
        <w:t>Th</w:t>
      </w:r>
      <w:r w:rsidRPr="002C5FCC">
        <w:rPr>
          <w:i/>
          <w:vertAlign w:val="subscript"/>
        </w:rPr>
        <w:t>i</w:t>
      </w:r>
      <w:proofErr w:type="spellEnd"/>
      <w:r>
        <w:t xml:space="preserve"> i</w:t>
      </w:r>
      <w:r w:rsidRPr="00090D0F">
        <w:t xml:space="preserve">s the corrected tissue thickness, and </w:t>
      </w:r>
      <w:r w:rsidRPr="00090D0F">
        <w:rPr>
          <w:i/>
        </w:rPr>
        <w:t>d</w:t>
      </w:r>
      <w:r w:rsidRPr="00090D0F">
        <w:rPr>
          <w:i/>
          <w:vertAlign w:val="subscript"/>
        </w:rPr>
        <w:t>i</w:t>
      </w:r>
      <w:r w:rsidRPr="00090D0F">
        <w:rPr>
          <w:i/>
        </w:rPr>
        <w:t xml:space="preserve"> </w:t>
      </w:r>
      <w:r w:rsidRPr="00090D0F">
        <w:t xml:space="preserve">is the thickness of the </w:t>
      </w:r>
      <w:proofErr w:type="spellStart"/>
      <w:r w:rsidRPr="00090D0F">
        <w:rPr>
          <w:i/>
        </w:rPr>
        <w:t>i</w:t>
      </w:r>
      <w:r w:rsidRPr="00090D0F">
        <w:t>’th</w:t>
      </w:r>
      <w:proofErr w:type="spellEnd"/>
      <w:r w:rsidRPr="00090D0F">
        <w:t xml:space="preserve"> slice. The radius </w:t>
      </w:r>
      <w:r w:rsidRPr="00090D0F">
        <w:rPr>
          <w:i/>
        </w:rPr>
        <w:t>r</w:t>
      </w:r>
      <w:r w:rsidRPr="00090D0F">
        <w:t xml:space="preserve"> of the (assumed) spherical femoral head </w:t>
      </w:r>
      <w:r w:rsidRPr="00FB49E5">
        <w:rPr>
          <w:noProof/>
        </w:rPr>
        <w:t>was determined</w:t>
      </w:r>
      <w:r w:rsidRPr="00090D0F">
        <w:t xml:space="preserve"> from the volume of the femoral head </w:t>
      </w:r>
      <w:r w:rsidRPr="00090D0F">
        <w:rPr>
          <w:i/>
        </w:rPr>
        <w:t>V</w:t>
      </w:r>
      <w:r w:rsidRPr="00090D0F">
        <w:t xml:space="preserve"> as:</w:t>
      </w:r>
    </w:p>
    <w:p w:rsidR="00955BCF" w:rsidRPr="00090D0F" w:rsidRDefault="00955BCF" w:rsidP="00955BCF">
      <w:pPr>
        <w:pStyle w:val="NormalWeb"/>
        <w:spacing w:after="0" w:line="480" w:lineRule="auto"/>
        <w:jc w:val="center"/>
        <w:rPr>
          <w:b/>
        </w:rPr>
      </w:pPr>
      <w:r w:rsidRPr="00090D0F">
        <w:rPr>
          <w:noProof/>
        </w:rPr>
        <w:drawing>
          <wp:anchor distT="0" distB="0" distL="114300" distR="114300" simplePos="0" relativeHeight="251660288" behindDoc="0" locked="0" layoutInCell="1" allowOverlap="1" wp14:anchorId="773B6CE5" wp14:editId="3DCD8E12">
            <wp:simplePos x="0" y="0"/>
            <wp:positionH relativeFrom="column">
              <wp:posOffset>5600700</wp:posOffset>
            </wp:positionH>
            <wp:positionV relativeFrom="paragraph">
              <wp:posOffset>78740</wp:posOffset>
            </wp:positionV>
            <wp:extent cx="228600" cy="228600"/>
            <wp:effectExtent l="0" t="0" r="0" b="0"/>
            <wp:wrapSquare wrapText="bothSides"/>
            <wp:docPr id="6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r=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3V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C4C4C"/>
                    <w:shd w:val="clear" w:color="auto" w:fill="FFFFFF"/>
                  </w:rPr>
                  <m:t>π</m:t>
                </m:r>
              </m:den>
            </m:f>
          </m:e>
        </m:rad>
      </m:oMath>
    </w:p>
    <w:p w:rsidR="00955BCF" w:rsidRPr="00090D0F" w:rsidRDefault="00955BCF" w:rsidP="00955BCF">
      <w:pPr>
        <w:pStyle w:val="NormalWeb"/>
        <w:spacing w:after="0" w:line="480" w:lineRule="auto"/>
        <w:jc w:val="center"/>
        <w:rPr>
          <w:b/>
        </w:rPr>
      </w:pPr>
      <w:r w:rsidRPr="00090D0F">
        <w:rPr>
          <w:noProof/>
        </w:rPr>
        <w:drawing>
          <wp:inline distT="0" distB="0" distL="0" distR="0" wp14:anchorId="11D00C34" wp14:editId="7570DB30">
            <wp:extent cx="5785945" cy="2469391"/>
            <wp:effectExtent l="0" t="0" r="5715" b="762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51" cy="24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4C" w:rsidRDefault="00955BCF" w:rsidP="00955BCF">
      <w:pPr>
        <w:pStyle w:val="NormalWeb"/>
        <w:spacing w:before="0" w:beforeAutospacing="0" w:after="0" w:afterAutospacing="0" w:line="480" w:lineRule="auto"/>
      </w:pPr>
      <w:r w:rsidRPr="00090D0F">
        <w:t xml:space="preserve">A) The femoral head was cut exhaustively using the systematic uniform random sampling and vertical uniform random sections. </w:t>
      </w:r>
      <w:r w:rsidRPr="00FB49E5">
        <w:rPr>
          <w:noProof/>
        </w:rPr>
        <w:t>The black arrow indicates the direction of the</w:t>
      </w:r>
      <w:r w:rsidRPr="00090D0F">
        <w:t xml:space="preserve"> measured distance from the outside of the femoral head. B) By assuming that the femoral head is spherical, a mathematical formula was made to correct for the overestimated thicknesses. C) The mathematical principles for the correction formula, where the red </w:t>
      </w:r>
      <w:proofErr w:type="gramStart"/>
      <w:r w:rsidRPr="00090D0F">
        <w:t>line ”T</w:t>
      </w:r>
      <w:proofErr w:type="gramEnd"/>
      <w:r w:rsidRPr="00090D0F">
        <w:t>” is the measured thickness of AC, and the yellow line ”B” is the corrected thickness.</w:t>
      </w:r>
      <w:bookmarkStart w:id="0" w:name="_GoBack"/>
      <w:bookmarkEnd w:id="0"/>
    </w:p>
    <w:sectPr w:rsidR="005E2F4C" w:rsidSect="009C0267">
      <w:pgSz w:w="11900" w:h="16840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MDextDA1NjAws7BQ0lEKTi0uzszPAykwrAUAYoyF/CwAAAA="/>
  </w:docVars>
  <w:rsids>
    <w:rsidRoot w:val="00955BCF"/>
    <w:rsid w:val="005E2F4C"/>
    <w:rsid w:val="009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9907"/>
  <w15:chartTrackingRefBased/>
  <w15:docId w15:val="{7DB8019A-AC32-4685-A3F4-A7005122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Ingenafstand"/>
    <w:qFormat/>
    <w:rsid w:val="00955BCF"/>
    <w:pPr>
      <w:spacing w:after="200" w:line="480" w:lineRule="auto"/>
      <w:jc w:val="both"/>
    </w:pPr>
    <w:rPr>
      <w:rFonts w:ascii="Times New Roman" w:eastAsia="MS Minngs" w:hAnsi="Times New Roman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5BCF"/>
    <w:pPr>
      <w:spacing w:before="100" w:beforeAutospacing="1" w:after="100" w:afterAutospacing="1" w:line="240" w:lineRule="auto"/>
    </w:pPr>
    <w:rPr>
      <w:szCs w:val="24"/>
      <w:lang w:eastAsia="da-DK"/>
    </w:rPr>
  </w:style>
  <w:style w:type="paragraph" w:styleId="Ingenafstand">
    <w:name w:val="No Spacing"/>
    <w:uiPriority w:val="1"/>
    <w:qFormat/>
    <w:rsid w:val="00955BCF"/>
    <w:pPr>
      <w:spacing w:after="0" w:line="240" w:lineRule="auto"/>
      <w:jc w:val="both"/>
    </w:pPr>
    <w:rPr>
      <w:rFonts w:ascii="Times New Roman" w:eastAsia="MS Minngs" w:hAnsi="Times New Roman"/>
      <w:szCs w:val="22"/>
      <w:lang w:val="en-GB"/>
    </w:rPr>
  </w:style>
  <w:style w:type="character" w:styleId="Linjenummer">
    <w:name w:val="line number"/>
    <w:basedOn w:val="Standardskrifttypeiafsnit"/>
    <w:uiPriority w:val="99"/>
    <w:semiHidden/>
    <w:unhideWhenUsed/>
    <w:rsid w:val="0095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Klose-Jensen</dc:creator>
  <cp:keywords/>
  <dc:description/>
  <cp:lastModifiedBy>Rasmus Klose-Jensen</cp:lastModifiedBy>
  <cp:revision>1</cp:revision>
  <dcterms:created xsi:type="dcterms:W3CDTF">2018-06-18T09:24:00Z</dcterms:created>
  <dcterms:modified xsi:type="dcterms:W3CDTF">2018-06-18T09:25:00Z</dcterms:modified>
</cp:coreProperties>
</file>