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97" w:rsidRDefault="00346A9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Figure</w:t>
      </w:r>
      <w:r w:rsidRPr="00481C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481CD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Key Inclusion and Exclusion Criteria of MEASURE 1 and MEASURE 2 </w:t>
      </w:r>
      <w:r w:rsidR="0087636C">
        <w:rPr>
          <w:rFonts w:ascii="Times New Roman" w:hAnsi="Times New Roman" w:cs="Times New Roman"/>
          <w:b/>
          <w:sz w:val="24"/>
          <w:szCs w:val="24"/>
        </w:rPr>
        <w:t>Studies</w:t>
      </w:r>
    </w:p>
    <w:p w:rsidR="00346A97" w:rsidRDefault="00346A97" w:rsidP="00CF4984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18CE408">
            <wp:extent cx="6686012" cy="5598544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45" cy="5600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1DA8" w:rsidRDefault="00641DA8" w:rsidP="00641DA8">
      <w:pPr>
        <w:rPr>
          <w:rFonts w:ascii="Times New Roman" w:hAnsi="Times New Roman" w:cs="Times New Roman"/>
          <w:b/>
          <w:sz w:val="24"/>
          <w:szCs w:val="24"/>
        </w:rPr>
      </w:pPr>
      <w:r w:rsidRPr="00481C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FC6D06">
        <w:rPr>
          <w:rFonts w:ascii="Times New Roman" w:hAnsi="Times New Roman" w:cs="Times New Roman"/>
          <w:b/>
          <w:sz w:val="24"/>
          <w:szCs w:val="24"/>
        </w:rPr>
        <w:t>S1</w:t>
      </w:r>
      <w:r w:rsidRPr="00481CD7">
        <w:rPr>
          <w:rFonts w:ascii="Times New Roman" w:hAnsi="Times New Roman" w:cs="Times New Roman"/>
          <w:b/>
          <w:sz w:val="24"/>
          <w:szCs w:val="24"/>
        </w:rPr>
        <w:t xml:space="preserve">. Clinical Efficacy in </w:t>
      </w:r>
      <w:r>
        <w:rPr>
          <w:rFonts w:ascii="Times New Roman" w:hAnsi="Times New Roman" w:cs="Times New Roman"/>
          <w:b/>
          <w:sz w:val="24"/>
          <w:szCs w:val="24"/>
        </w:rPr>
        <w:t>Normal or Different Levels of Elevated Baseline CRP</w:t>
      </w:r>
      <w:r w:rsidR="00C67F45">
        <w:rPr>
          <w:rFonts w:ascii="Times New Roman" w:hAnsi="Times New Roman" w:cs="Times New Roman"/>
          <w:b/>
          <w:sz w:val="24"/>
          <w:szCs w:val="24"/>
        </w:rPr>
        <w:t xml:space="preserve"> at Weeks 16 and 156</w:t>
      </w:r>
    </w:p>
    <w:p w:rsidR="00641DA8" w:rsidRDefault="00641DA8" w:rsidP="00641D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803"/>
        <w:gridCol w:w="1577"/>
        <w:gridCol w:w="1081"/>
        <w:gridCol w:w="1697"/>
        <w:gridCol w:w="1209"/>
        <w:gridCol w:w="1577"/>
        <w:gridCol w:w="1068"/>
        <w:gridCol w:w="1620"/>
        <w:gridCol w:w="1080"/>
      </w:tblGrid>
      <w:tr w:rsidR="00641DA8" w:rsidRPr="00B17C3A" w:rsidTr="004532EF">
        <w:trPr>
          <w:trHeight w:val="255"/>
        </w:trPr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DA8" w:rsidRPr="00B17C3A" w:rsidRDefault="00641DA8" w:rsidP="004532E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Normal baseline CRP (</w:t>
            </w:r>
            <w:r w:rsidRPr="00CD4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&lt;5 mg/L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Elevated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aseline CRP</w:t>
            </w:r>
          </w:p>
        </w:tc>
      </w:tr>
      <w:tr w:rsidR="00641DA8" w:rsidRPr="00B17C3A" w:rsidTr="004532EF">
        <w:trPr>
          <w:trHeight w:val="420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641DA8" w:rsidRPr="00B17C3A" w:rsidRDefault="00641DA8" w:rsidP="004532E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vAlign w:val="center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DA8" w:rsidRPr="00B17C3A" w:rsidRDefault="00471F1E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F1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≥5 to &lt;10 mg/L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DA8" w:rsidRPr="00B17C3A" w:rsidRDefault="00471F1E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F1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≥10 to &lt;15 mg/L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1DA8" w:rsidRPr="00B17C3A" w:rsidRDefault="00471F1E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≥15 mg/L</w:t>
            </w:r>
          </w:p>
        </w:tc>
      </w:tr>
      <w:tr w:rsidR="00641DA8" w:rsidRPr="00B17C3A" w:rsidTr="004532EF">
        <w:trPr>
          <w:trHeight w:val="4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DA8" w:rsidRPr="00B17C3A" w:rsidRDefault="00641DA8" w:rsidP="004532E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Pooled secukinumab</w:t>
            </w:r>
          </w:p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mg</w:t>
            </w:r>
          </w:p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 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72</w:t>
            </w: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Pooled placebo</w:t>
            </w:r>
          </w:p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 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</w:t>
            </w: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1)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Pooled secukinumab</w:t>
            </w:r>
          </w:p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mg</w:t>
            </w:r>
          </w:p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 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38)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Pooled placebo</w:t>
            </w:r>
          </w:p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 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31)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Pooled secukinumab</w:t>
            </w:r>
          </w:p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mg</w:t>
            </w:r>
          </w:p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 = 19</w:t>
            </w: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Pooled</w:t>
            </w:r>
          </w:p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placebo</w:t>
            </w:r>
          </w:p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 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</w:t>
            </w: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Pooled secukinumab</w:t>
            </w:r>
          </w:p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mg</w:t>
            </w:r>
          </w:p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 = 68)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Pooled placebo</w:t>
            </w:r>
          </w:p>
          <w:p w:rsidR="00641DA8" w:rsidRPr="00B17C3A" w:rsidRDefault="00641DA8" w:rsidP="004532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 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62)</w:t>
            </w:r>
          </w:p>
        </w:tc>
      </w:tr>
      <w:tr w:rsidR="00641DA8" w:rsidRPr="00B17C3A" w:rsidTr="004532EF">
        <w:trPr>
          <w:trHeight w:val="229"/>
        </w:trPr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641DA8" w:rsidRPr="00B17C3A" w:rsidRDefault="00641DA8" w:rsidP="004532E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ASAS20, %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34">
              <w:rPr>
                <w:rFonts w:ascii="Times New Roman" w:hAnsi="Times New Roman" w:cs="Times New Roman"/>
                <w:noProof/>
                <w:sz w:val="24"/>
                <w:szCs w:val="24"/>
              </w:rPr>
              <w:t>56.9</w:t>
            </w:r>
            <w:r w:rsidRPr="00251130"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34">
              <w:rPr>
                <w:rFonts w:ascii="Times New Roman" w:hAnsi="Times New Roman" w:cs="Times New Roman"/>
                <w:noProof/>
                <w:sz w:val="24"/>
                <w:szCs w:val="24"/>
              </w:rPr>
              <w:t>28.2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68.4</w:t>
            </w:r>
            <w:r w:rsidRPr="00251130"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  <w:r w:rsidRPr="000101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</w:tr>
      <w:tr w:rsidR="00641DA8" w:rsidRPr="00B17C3A" w:rsidTr="004532EF">
        <w:trPr>
          <w:trHeight w:val="242"/>
        </w:trPr>
        <w:tc>
          <w:tcPr>
            <w:tcW w:w="2160" w:type="dxa"/>
            <w:vMerge/>
          </w:tcPr>
          <w:p w:rsidR="00641DA8" w:rsidRPr="00B17C3A" w:rsidRDefault="00641DA8" w:rsidP="004532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77" w:type="dxa"/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3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61.3       </w:t>
            </w:r>
          </w:p>
        </w:tc>
        <w:tc>
          <w:tcPr>
            <w:tcW w:w="1081" w:type="dxa"/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97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09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77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82.8</w:t>
            </w:r>
          </w:p>
        </w:tc>
        <w:tc>
          <w:tcPr>
            <w:tcW w:w="1068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20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85.0</w:t>
            </w:r>
          </w:p>
        </w:tc>
        <w:tc>
          <w:tcPr>
            <w:tcW w:w="1080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41DA8" w:rsidRPr="00B17C3A" w:rsidTr="004532EF">
        <w:trPr>
          <w:trHeight w:val="229"/>
        </w:trPr>
        <w:tc>
          <w:tcPr>
            <w:tcW w:w="2160" w:type="dxa"/>
            <w:vMerge w:val="restart"/>
          </w:tcPr>
          <w:p w:rsidR="00641DA8" w:rsidRPr="00B17C3A" w:rsidRDefault="00641DA8" w:rsidP="004532E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ASAS40, %</w:t>
            </w:r>
          </w:p>
        </w:tc>
        <w:tc>
          <w:tcPr>
            <w:tcW w:w="803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7" w:type="dxa"/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34">
              <w:rPr>
                <w:rFonts w:ascii="Times New Roman" w:hAnsi="Times New Roman" w:cs="Times New Roman"/>
                <w:noProof/>
                <w:sz w:val="24"/>
                <w:szCs w:val="24"/>
              </w:rPr>
              <w:t>34.7</w:t>
            </w:r>
            <w:r w:rsidRPr="00251130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081" w:type="dxa"/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34">
              <w:rPr>
                <w:rFonts w:ascii="Times New Roman" w:hAnsi="Times New Roman" w:cs="Times New Roman"/>
                <w:noProof/>
                <w:sz w:val="24"/>
                <w:szCs w:val="24"/>
              </w:rPr>
              <w:t>7.0</w:t>
            </w:r>
          </w:p>
        </w:tc>
        <w:tc>
          <w:tcPr>
            <w:tcW w:w="1697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209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577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068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620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  <w:r w:rsidRPr="000101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80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</w:tr>
      <w:tr w:rsidR="00641DA8" w:rsidRPr="00B17C3A" w:rsidTr="004532EF">
        <w:trPr>
          <w:trHeight w:val="242"/>
        </w:trPr>
        <w:tc>
          <w:tcPr>
            <w:tcW w:w="2160" w:type="dxa"/>
            <w:vMerge/>
          </w:tcPr>
          <w:p w:rsidR="00641DA8" w:rsidRPr="00B17C3A" w:rsidRDefault="00641DA8" w:rsidP="004532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77" w:type="dxa"/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34">
              <w:rPr>
                <w:rFonts w:ascii="Times New Roman" w:hAnsi="Times New Roman" w:cs="Times New Roman"/>
                <w:noProof/>
                <w:sz w:val="24"/>
                <w:szCs w:val="24"/>
              </w:rPr>
              <w:t>42.4</w:t>
            </w:r>
          </w:p>
        </w:tc>
        <w:tc>
          <w:tcPr>
            <w:tcW w:w="1081" w:type="dxa"/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209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77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76.4</w:t>
            </w:r>
          </w:p>
        </w:tc>
        <w:tc>
          <w:tcPr>
            <w:tcW w:w="1068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20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67.9</w:t>
            </w:r>
          </w:p>
        </w:tc>
        <w:tc>
          <w:tcPr>
            <w:tcW w:w="1080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41DA8" w:rsidRPr="00B17C3A" w:rsidTr="004532EF">
        <w:trPr>
          <w:trHeight w:val="377"/>
        </w:trPr>
        <w:tc>
          <w:tcPr>
            <w:tcW w:w="2160" w:type="dxa"/>
            <w:vMerge w:val="restart"/>
          </w:tcPr>
          <w:p w:rsidR="00641DA8" w:rsidRPr="00B17C3A" w:rsidRDefault="00641DA8" w:rsidP="004532E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BASDAI, mean change from baseline</w:t>
            </w:r>
          </w:p>
        </w:tc>
        <w:tc>
          <w:tcPr>
            <w:tcW w:w="803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7" w:type="dxa"/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−</w:t>
            </w:r>
            <w:r w:rsidRPr="00803A34">
              <w:rPr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251130">
              <w:rPr>
                <w:rFonts w:ascii="Times New Roman" w:hAnsi="Times New Roman" w:cs="Times New Roman"/>
                <w:vertAlign w:val="superscript"/>
              </w:rPr>
              <w:t>†</w:t>
            </w:r>
            <w:r w:rsidRPr="00803A3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1081" w:type="dxa"/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−</w:t>
            </w:r>
            <w:r w:rsidRPr="00803A34">
              <w:rPr>
                <w:rFonts w:ascii="Times New Roman" w:hAnsi="Times New Roman" w:cs="Times New Roman"/>
                <w:noProof/>
                <w:sz w:val="24"/>
                <w:szCs w:val="24"/>
              </w:rPr>
              <w:t>1.0</w:t>
            </w:r>
          </w:p>
        </w:tc>
        <w:tc>
          <w:tcPr>
            <w:tcW w:w="1697" w:type="dxa"/>
            <w:shd w:val="clear" w:color="auto" w:fill="auto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−</w:t>
            </w: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09" w:type="dxa"/>
            <w:shd w:val="clear" w:color="auto" w:fill="auto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−0.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7</w:t>
            </w:r>
          </w:p>
        </w:tc>
        <w:tc>
          <w:tcPr>
            <w:tcW w:w="1577" w:type="dxa"/>
            <w:shd w:val="clear" w:color="auto" w:fill="auto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−2.8</w:t>
            </w:r>
            <w:r w:rsidRPr="00251130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068" w:type="dxa"/>
            <w:shd w:val="clear" w:color="auto" w:fill="auto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−0.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−2.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8</w:t>
            </w:r>
            <w:r w:rsidRPr="000101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80" w:type="dxa"/>
            <w:shd w:val="clear" w:color="auto" w:fill="auto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−0.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6</w:t>
            </w:r>
          </w:p>
        </w:tc>
      </w:tr>
      <w:tr w:rsidR="00641DA8" w:rsidRPr="00B17C3A" w:rsidTr="004532EF">
        <w:trPr>
          <w:trHeight w:val="449"/>
        </w:trPr>
        <w:tc>
          <w:tcPr>
            <w:tcW w:w="2160" w:type="dxa"/>
            <w:vMerge/>
          </w:tcPr>
          <w:p w:rsidR="00641DA8" w:rsidRPr="00B17C3A" w:rsidRDefault="00641DA8" w:rsidP="004532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77" w:type="dxa"/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−</w:t>
            </w:r>
            <w:r w:rsidRPr="00803A34">
              <w:rPr>
                <w:rFonts w:ascii="Times New Roman" w:hAnsi="Times New Roman" w:cs="Times New Roman"/>
                <w:noProof/>
                <w:sz w:val="24"/>
                <w:szCs w:val="24"/>
              </w:rPr>
              <w:t>2.7</w:t>
            </w:r>
          </w:p>
        </w:tc>
        <w:tc>
          <w:tcPr>
            <w:tcW w:w="1081" w:type="dxa"/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97" w:type="dxa"/>
            <w:shd w:val="clear" w:color="auto" w:fill="auto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−2.8</w:t>
            </w:r>
          </w:p>
        </w:tc>
        <w:tc>
          <w:tcPr>
            <w:tcW w:w="1209" w:type="dxa"/>
            <w:shd w:val="clear" w:color="auto" w:fill="auto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77" w:type="dxa"/>
            <w:shd w:val="clear" w:color="auto" w:fill="auto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−3.6</w:t>
            </w:r>
          </w:p>
        </w:tc>
        <w:tc>
          <w:tcPr>
            <w:tcW w:w="1068" w:type="dxa"/>
            <w:shd w:val="clear" w:color="auto" w:fill="auto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20" w:type="dxa"/>
            <w:shd w:val="clear" w:color="auto" w:fill="auto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−3.6</w:t>
            </w:r>
          </w:p>
        </w:tc>
        <w:tc>
          <w:tcPr>
            <w:tcW w:w="1080" w:type="dxa"/>
            <w:shd w:val="clear" w:color="auto" w:fill="auto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41DA8" w:rsidRPr="00B17C3A" w:rsidTr="004532EF">
        <w:trPr>
          <w:trHeight w:val="229"/>
        </w:trPr>
        <w:tc>
          <w:tcPr>
            <w:tcW w:w="2160" w:type="dxa"/>
            <w:vMerge w:val="restart"/>
          </w:tcPr>
          <w:p w:rsidR="00641DA8" w:rsidRPr="00B17C3A" w:rsidRDefault="00641DA8" w:rsidP="004532E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BASDAI50, %</w:t>
            </w:r>
          </w:p>
        </w:tc>
        <w:tc>
          <w:tcPr>
            <w:tcW w:w="803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7" w:type="dxa"/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34">
              <w:rPr>
                <w:rFonts w:ascii="Times New Roman" w:hAnsi="Times New Roman" w:cs="Times New Roman"/>
                <w:noProof/>
                <w:sz w:val="24"/>
                <w:szCs w:val="24"/>
              </w:rPr>
              <w:t>27.8</w:t>
            </w:r>
            <w:r w:rsidRPr="00251130"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  <w:tc>
          <w:tcPr>
            <w:tcW w:w="1081" w:type="dxa"/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34">
              <w:rPr>
                <w:rFonts w:ascii="Times New Roman" w:hAnsi="Times New Roman" w:cs="Times New Roman"/>
                <w:noProof/>
                <w:sz w:val="24"/>
                <w:szCs w:val="24"/>
              </w:rPr>
              <w:t>7.0</w:t>
            </w:r>
          </w:p>
        </w:tc>
        <w:tc>
          <w:tcPr>
            <w:tcW w:w="1697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209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577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  <w:r w:rsidRPr="00251130">
              <w:rPr>
                <w:rFonts w:ascii="Times New Roman" w:hAnsi="Times New Roman" w:cs="Times New Roman"/>
                <w:vertAlign w:val="superscript"/>
              </w:rPr>
              <w:t>§</w:t>
            </w:r>
          </w:p>
        </w:tc>
        <w:tc>
          <w:tcPr>
            <w:tcW w:w="1068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620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  <w:r w:rsidRPr="000101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80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</w:tr>
      <w:tr w:rsidR="00641DA8" w:rsidRPr="00B17C3A" w:rsidTr="004532EF">
        <w:trPr>
          <w:trHeight w:val="242"/>
        </w:trPr>
        <w:tc>
          <w:tcPr>
            <w:tcW w:w="2160" w:type="dxa"/>
            <w:vMerge/>
          </w:tcPr>
          <w:p w:rsidR="00641DA8" w:rsidRPr="00B17C3A" w:rsidRDefault="00641DA8" w:rsidP="004532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77" w:type="dxa"/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34">
              <w:rPr>
                <w:rFonts w:ascii="Times New Roman" w:hAnsi="Times New Roman" w:cs="Times New Roman"/>
                <w:noProof/>
                <w:sz w:val="24"/>
                <w:szCs w:val="24"/>
              </w:rPr>
              <w:t>40.4</w:t>
            </w:r>
          </w:p>
        </w:tc>
        <w:tc>
          <w:tcPr>
            <w:tcW w:w="1081" w:type="dxa"/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97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1209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77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75.5</w:t>
            </w:r>
          </w:p>
        </w:tc>
        <w:tc>
          <w:tcPr>
            <w:tcW w:w="1068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20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1080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41DA8" w:rsidRPr="00B17C3A" w:rsidTr="004532EF">
        <w:trPr>
          <w:trHeight w:val="229"/>
        </w:trPr>
        <w:tc>
          <w:tcPr>
            <w:tcW w:w="2160" w:type="dxa"/>
            <w:vMerge w:val="restart"/>
          </w:tcPr>
          <w:p w:rsidR="00641DA8" w:rsidRPr="00B17C3A" w:rsidRDefault="00641DA8" w:rsidP="004532E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ASDAS </w:t>
            </w: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inactive disease, %</w:t>
            </w:r>
          </w:p>
        </w:tc>
        <w:tc>
          <w:tcPr>
            <w:tcW w:w="803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7" w:type="dxa"/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34">
              <w:rPr>
                <w:rFonts w:ascii="Times New Roman" w:hAnsi="Times New Roman" w:cs="Times New Roman"/>
                <w:noProof/>
                <w:sz w:val="24"/>
                <w:szCs w:val="24"/>
              </w:rPr>
              <w:t>19.4</w:t>
            </w:r>
            <w:r w:rsidRPr="00251130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1081" w:type="dxa"/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34">
              <w:rPr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</w:p>
        </w:tc>
        <w:tc>
          <w:tcPr>
            <w:tcW w:w="1697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209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77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68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080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641DA8" w:rsidRPr="00B17C3A" w:rsidTr="004532EF">
        <w:trPr>
          <w:trHeight w:val="469"/>
        </w:trPr>
        <w:tc>
          <w:tcPr>
            <w:tcW w:w="2160" w:type="dxa"/>
            <w:vMerge/>
          </w:tcPr>
          <w:p w:rsidR="00641DA8" w:rsidRPr="00B17C3A" w:rsidRDefault="00641DA8" w:rsidP="004532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77" w:type="dxa"/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34">
              <w:rPr>
                <w:rFonts w:ascii="Times New Roman" w:hAnsi="Times New Roman" w:cs="Times New Roman"/>
                <w:noProof/>
                <w:sz w:val="24"/>
                <w:szCs w:val="24"/>
              </w:rPr>
              <w:t>28.9</w:t>
            </w:r>
          </w:p>
        </w:tc>
        <w:tc>
          <w:tcPr>
            <w:tcW w:w="1081" w:type="dxa"/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97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209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77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1068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20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080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41DA8" w:rsidRPr="00B17C3A" w:rsidTr="004532EF">
        <w:trPr>
          <w:trHeight w:val="229"/>
        </w:trPr>
        <w:tc>
          <w:tcPr>
            <w:tcW w:w="2160" w:type="dxa"/>
            <w:vMerge w:val="restart"/>
          </w:tcPr>
          <w:p w:rsidR="00641DA8" w:rsidRPr="00B17C3A" w:rsidRDefault="00641DA8" w:rsidP="004532E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ASAS PR, %</w:t>
            </w:r>
          </w:p>
        </w:tc>
        <w:tc>
          <w:tcPr>
            <w:tcW w:w="803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7" w:type="dxa"/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34">
              <w:rPr>
                <w:rFonts w:ascii="Times New Roman" w:hAnsi="Times New Roman" w:cs="Times New Roman"/>
                <w:noProof/>
                <w:sz w:val="24"/>
                <w:szCs w:val="24"/>
              </w:rPr>
              <w:t>12.5</w:t>
            </w:r>
          </w:p>
        </w:tc>
        <w:tc>
          <w:tcPr>
            <w:tcW w:w="1081" w:type="dxa"/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34">
              <w:rPr>
                <w:rFonts w:ascii="Times New Roman" w:hAnsi="Times New Roman" w:cs="Times New Roman"/>
                <w:noProof/>
                <w:sz w:val="24"/>
                <w:szCs w:val="24"/>
              </w:rPr>
              <w:t>2.8</w:t>
            </w:r>
          </w:p>
        </w:tc>
        <w:tc>
          <w:tcPr>
            <w:tcW w:w="1697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  <w:r w:rsidRPr="00251130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1209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77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068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20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080" w:type="dxa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641DA8" w:rsidRPr="00B17C3A" w:rsidTr="004532EF">
        <w:trPr>
          <w:trHeight w:val="254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A34">
              <w:rPr>
                <w:rFonts w:ascii="Times New Roman" w:hAnsi="Times New Roman" w:cs="Times New Roman"/>
                <w:noProof/>
                <w:sz w:val="24"/>
                <w:szCs w:val="24"/>
              </w:rPr>
              <w:t>14.4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641DA8" w:rsidRPr="00803A34" w:rsidRDefault="00641DA8" w:rsidP="004532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41DA8" w:rsidRPr="00B17C3A" w:rsidRDefault="00641DA8" w:rsidP="004532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41DA8" w:rsidRPr="00B17C3A" w:rsidTr="004532EF">
        <w:trPr>
          <w:trHeight w:val="254"/>
        </w:trPr>
        <w:tc>
          <w:tcPr>
            <w:tcW w:w="13872" w:type="dxa"/>
            <w:gridSpan w:val="10"/>
            <w:tcBorders>
              <w:top w:val="single" w:sz="4" w:space="0" w:color="auto"/>
            </w:tcBorders>
          </w:tcPr>
          <w:p w:rsidR="00641DA8" w:rsidRPr="00B17C3A" w:rsidRDefault="00641DA8" w:rsidP="004532E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1A1">
              <w:rPr>
                <w:rFonts w:ascii="Times New Roman" w:hAnsi="Times New Roman" w:cs="Times New Roman"/>
              </w:rPr>
              <w:t>*</w:t>
            </w:r>
            <w:r w:rsidRPr="00251130">
              <w:rPr>
                <w:rFonts w:ascii="Times New Roman" w:hAnsi="Times New Roman" w:cs="Times New Roman"/>
                <w:i/>
              </w:rPr>
              <w:t xml:space="preserve">P </w:t>
            </w:r>
            <w:r w:rsidRPr="000101A1">
              <w:rPr>
                <w:rFonts w:ascii="Times New Roman" w:hAnsi="Times New Roman" w:cs="Times New Roman"/>
              </w:rPr>
              <w:t xml:space="preserve">&lt; 0.0001; </w:t>
            </w:r>
            <w:r w:rsidRPr="00251130">
              <w:rPr>
                <w:rFonts w:ascii="Times New Roman" w:hAnsi="Times New Roman" w:cs="Times New Roman"/>
                <w:vertAlign w:val="superscript"/>
              </w:rPr>
              <w:t>†</w:t>
            </w:r>
            <w:r w:rsidRPr="00251130">
              <w:rPr>
                <w:rFonts w:ascii="Times New Roman" w:hAnsi="Times New Roman" w:cs="Times New Roman"/>
                <w:i/>
              </w:rPr>
              <w:t>P</w:t>
            </w:r>
            <w:r w:rsidRPr="000101A1">
              <w:rPr>
                <w:rFonts w:ascii="Times New Roman" w:hAnsi="Times New Roman" w:cs="Times New Roman"/>
              </w:rPr>
              <w:t xml:space="preserve"> &lt; 0.001; </w:t>
            </w:r>
            <w:r w:rsidRPr="00251130">
              <w:rPr>
                <w:rFonts w:ascii="Times New Roman" w:hAnsi="Times New Roman" w:cs="Times New Roman"/>
                <w:vertAlign w:val="superscript"/>
              </w:rPr>
              <w:t>§</w:t>
            </w:r>
            <w:r w:rsidRPr="00251130">
              <w:rPr>
                <w:rFonts w:ascii="Times New Roman" w:hAnsi="Times New Roman" w:cs="Times New Roman"/>
                <w:i/>
              </w:rPr>
              <w:t>P</w:t>
            </w:r>
            <w:r w:rsidRPr="000101A1">
              <w:rPr>
                <w:rFonts w:ascii="Times New Roman" w:hAnsi="Times New Roman" w:cs="Times New Roman"/>
              </w:rPr>
              <w:t xml:space="preserve"> &lt; 0.01; </w:t>
            </w:r>
            <w:r w:rsidRPr="00251130">
              <w:rPr>
                <w:rFonts w:ascii="Times New Roman" w:hAnsi="Times New Roman" w:cs="Times New Roman"/>
                <w:vertAlign w:val="superscript"/>
              </w:rPr>
              <w:t>‡</w:t>
            </w:r>
            <w:r w:rsidRPr="00251130">
              <w:rPr>
                <w:rFonts w:ascii="Times New Roman" w:hAnsi="Times New Roman" w:cs="Times New Roman"/>
                <w:i/>
              </w:rPr>
              <w:t>P</w:t>
            </w:r>
            <w:r w:rsidRPr="000101A1">
              <w:rPr>
                <w:rFonts w:ascii="Times New Roman" w:hAnsi="Times New Roman" w:cs="Times New Roman"/>
              </w:rPr>
              <w:t xml:space="preserve"> &lt; 0.05 versus placebo; missing values were imputed as non-response at Week 16. </w:t>
            </w:r>
            <w:r>
              <w:rPr>
                <w:rFonts w:ascii="Times New Roman" w:hAnsi="Times New Roman" w:cs="Times New Roman"/>
              </w:rPr>
              <w:t>MI</w:t>
            </w:r>
            <w:r w:rsidRPr="000101A1">
              <w:rPr>
                <w:rFonts w:ascii="Times New Roman" w:hAnsi="Times New Roman" w:cs="Times New Roman"/>
              </w:rPr>
              <w:t xml:space="preserve"> and MMRM </w:t>
            </w:r>
            <w:r>
              <w:rPr>
                <w:rFonts w:ascii="Times New Roman" w:hAnsi="Times New Roman" w:cs="Times New Roman"/>
              </w:rPr>
              <w:t xml:space="preserve">data </w:t>
            </w:r>
            <w:r w:rsidRPr="000101A1">
              <w:rPr>
                <w:rFonts w:ascii="Times New Roman" w:hAnsi="Times New Roman" w:cs="Times New Roman"/>
              </w:rPr>
              <w:t>prese</w:t>
            </w:r>
            <w:r>
              <w:rPr>
                <w:rFonts w:ascii="Times New Roman" w:hAnsi="Times New Roman" w:cs="Times New Roman"/>
              </w:rPr>
              <w:t xml:space="preserve">nted at Week 156 included n = 56 in normal baseline CRP group and n = 32, 18, and 53 in elevated baseline CRP </w:t>
            </w:r>
            <w:r w:rsidR="00471F1E" w:rsidRPr="00471F1E">
              <w:rPr>
                <w:rFonts w:ascii="Times New Roman" w:hAnsi="Times New Roman" w:cs="Times New Roman"/>
              </w:rPr>
              <w:t>≥5 to &lt;10 mg/L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71F1E" w:rsidRPr="00471F1E">
              <w:rPr>
                <w:rFonts w:ascii="Times New Roman" w:hAnsi="Times New Roman" w:cs="Times New Roman"/>
              </w:rPr>
              <w:t>≥10 to &lt;15 mg/L</w:t>
            </w:r>
            <w:r>
              <w:rPr>
                <w:rFonts w:ascii="Times New Roman" w:hAnsi="Times New Roman" w:cs="Times New Roman"/>
              </w:rPr>
              <w:t xml:space="preserve">, and </w:t>
            </w:r>
            <w:r w:rsidR="00471F1E" w:rsidRPr="00471F1E">
              <w:rPr>
                <w:rFonts w:ascii="Times New Roman" w:hAnsi="Times New Roman" w:cs="Times New Roman"/>
              </w:rPr>
              <w:t>≥15 mg/L</w:t>
            </w:r>
            <w:r>
              <w:rPr>
                <w:rFonts w:ascii="Times New Roman" w:hAnsi="Times New Roman" w:cs="Times New Roman"/>
              </w:rPr>
              <w:t xml:space="preserve"> groups,</w:t>
            </w:r>
            <w:r w:rsidRPr="000101A1">
              <w:rPr>
                <w:rFonts w:ascii="Times New Roman" w:hAnsi="Times New Roman" w:cs="Times New Roman"/>
              </w:rPr>
              <w:t xml:space="preserve"> respectively. For BASDAI, LS mean change from baseline was presented using MMRM at Weeks 16 and 156. ASAS, Assessment of SpondyloArthritis international Society criteria; ASDAS, Ankylosing Spondylitis Disease Activity Score; BASDAI, Bath Ankylosing Spondylitis Disease Activity Index; </w:t>
            </w:r>
            <w:r>
              <w:rPr>
                <w:rFonts w:ascii="Times New Roman" w:hAnsi="Times New Roman" w:cs="Times New Roman"/>
              </w:rPr>
              <w:t xml:space="preserve">CRP, C-reactive protein; </w:t>
            </w:r>
            <w:r w:rsidRPr="000101A1">
              <w:rPr>
                <w:rFonts w:ascii="Times New Roman" w:hAnsi="Times New Roman" w:cs="Times New Roman"/>
              </w:rPr>
              <w:t xml:space="preserve">LS, least squares; </w:t>
            </w:r>
            <w:r>
              <w:rPr>
                <w:rFonts w:ascii="Times New Roman" w:hAnsi="Times New Roman" w:cs="Times New Roman"/>
              </w:rPr>
              <w:t xml:space="preserve">MI, multiple imputation; </w:t>
            </w:r>
            <w:r w:rsidRPr="000101A1">
              <w:rPr>
                <w:rFonts w:ascii="Times New Roman" w:hAnsi="Times New Roman" w:cs="Times New Roman"/>
              </w:rPr>
              <w:t xml:space="preserve">MMRM, mixed-effect model repeated measures; N, number of patients included in this pooled </w:t>
            </w:r>
            <w:r>
              <w:rPr>
                <w:rFonts w:ascii="Times New Roman" w:hAnsi="Times New Roman" w:cs="Times New Roman"/>
              </w:rPr>
              <w:t>study</w:t>
            </w:r>
            <w:r w:rsidRPr="000101A1">
              <w:rPr>
                <w:rFonts w:ascii="Times New Roman" w:hAnsi="Times New Roman" w:cs="Times New Roman"/>
              </w:rPr>
              <w:t xml:space="preserve"> at Week 16; n, number of patients in this pooled </w:t>
            </w:r>
            <w:r>
              <w:rPr>
                <w:rFonts w:ascii="Times New Roman" w:hAnsi="Times New Roman" w:cs="Times New Roman"/>
              </w:rPr>
              <w:t>study</w:t>
            </w:r>
            <w:r w:rsidRPr="000101A1">
              <w:rPr>
                <w:rFonts w:ascii="Times New Roman" w:hAnsi="Times New Roman" w:cs="Times New Roman"/>
              </w:rPr>
              <w:t xml:space="preserve"> at Week 156</w:t>
            </w:r>
          </w:p>
        </w:tc>
      </w:tr>
    </w:tbl>
    <w:p w:rsidR="00E75732" w:rsidRPr="00EC25ED" w:rsidRDefault="00E75732" w:rsidP="00641DA8"/>
    <w:sectPr w:rsidR="00E75732" w:rsidRPr="00EC25ED" w:rsidSect="00445DA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2B" w:rsidRDefault="00810D2B" w:rsidP="00E727B9">
      <w:pPr>
        <w:spacing w:after="0" w:line="240" w:lineRule="auto"/>
      </w:pPr>
      <w:r>
        <w:separator/>
      </w:r>
    </w:p>
  </w:endnote>
  <w:endnote w:type="continuationSeparator" w:id="0">
    <w:p w:rsidR="00810D2B" w:rsidRDefault="00810D2B" w:rsidP="00E7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304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27B9" w:rsidRDefault="00E727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C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7B9" w:rsidRDefault="00E72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2B" w:rsidRDefault="00810D2B" w:rsidP="00E727B9">
      <w:pPr>
        <w:spacing w:after="0" w:line="240" w:lineRule="auto"/>
      </w:pPr>
      <w:r>
        <w:separator/>
      </w:r>
    </w:p>
  </w:footnote>
  <w:footnote w:type="continuationSeparator" w:id="0">
    <w:p w:rsidR="00810D2B" w:rsidRDefault="00810D2B" w:rsidP="00E72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A1"/>
    <w:rsid w:val="000124AB"/>
    <w:rsid w:val="00057F8B"/>
    <w:rsid w:val="000F45E0"/>
    <w:rsid w:val="000F7CF9"/>
    <w:rsid w:val="00247B55"/>
    <w:rsid w:val="002F5C47"/>
    <w:rsid w:val="00346A97"/>
    <w:rsid w:val="003E0491"/>
    <w:rsid w:val="00445DA5"/>
    <w:rsid w:val="00471F1E"/>
    <w:rsid w:val="00641DA8"/>
    <w:rsid w:val="00691CA2"/>
    <w:rsid w:val="00810D2B"/>
    <w:rsid w:val="0087636C"/>
    <w:rsid w:val="00A966A1"/>
    <w:rsid w:val="00C05074"/>
    <w:rsid w:val="00C5318E"/>
    <w:rsid w:val="00C67F45"/>
    <w:rsid w:val="00CF4984"/>
    <w:rsid w:val="00E727B9"/>
    <w:rsid w:val="00E75732"/>
    <w:rsid w:val="00EC25ED"/>
    <w:rsid w:val="00EC5BA2"/>
    <w:rsid w:val="00FC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24727-F361-455F-A6DA-33BAE6FC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18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1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7B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7B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MAITY, NILADRI</dc:creator>
  <cp:keywords/>
  <dc:description/>
  <cp:lastModifiedBy>MAITY, NILADRI</cp:lastModifiedBy>
  <cp:revision>7</cp:revision>
  <dcterms:created xsi:type="dcterms:W3CDTF">2018-06-21T01:15:00Z</dcterms:created>
  <dcterms:modified xsi:type="dcterms:W3CDTF">2018-10-24T08:31:00Z</dcterms:modified>
</cp:coreProperties>
</file>