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760" w:rsidRPr="002C7612" w:rsidRDefault="00085760" w:rsidP="0008576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2C7612">
        <w:rPr>
          <w:rFonts w:ascii="Arial" w:hAnsi="Arial" w:cs="Arial"/>
          <w:b/>
          <w:sz w:val="24"/>
          <w:szCs w:val="24"/>
        </w:rPr>
        <w:t>Supplementary Appendix S1</w:t>
      </w:r>
    </w:p>
    <w:p w:rsidR="006B361E" w:rsidRPr="00D06091" w:rsidRDefault="006B361E" w:rsidP="006B361E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D06091">
        <w:rPr>
          <w:rFonts w:ascii="Arial" w:hAnsi="Arial" w:cs="Arial"/>
          <w:b/>
          <w:sz w:val="24"/>
          <w:szCs w:val="24"/>
        </w:rPr>
        <w:t>Efficacy</w:t>
      </w:r>
      <w:r w:rsidR="006D0C80" w:rsidRPr="00D06091">
        <w:rPr>
          <w:rFonts w:ascii="Arial" w:hAnsi="Arial" w:cs="Arial"/>
          <w:b/>
          <w:sz w:val="24"/>
          <w:szCs w:val="24"/>
        </w:rPr>
        <w:t>,</w:t>
      </w:r>
      <w:r w:rsidR="00A63048" w:rsidRPr="00D06091">
        <w:rPr>
          <w:rFonts w:ascii="Arial" w:hAnsi="Arial" w:cs="Arial"/>
          <w:b/>
          <w:sz w:val="24"/>
          <w:szCs w:val="24"/>
        </w:rPr>
        <w:t xml:space="preserve"> </w:t>
      </w:r>
      <w:r w:rsidRPr="00D06091">
        <w:rPr>
          <w:rFonts w:ascii="Arial" w:hAnsi="Arial" w:cs="Arial"/>
          <w:b/>
          <w:sz w:val="24"/>
          <w:szCs w:val="24"/>
        </w:rPr>
        <w:t>safety</w:t>
      </w:r>
      <w:r w:rsidR="00034916" w:rsidRPr="00D06091">
        <w:rPr>
          <w:rFonts w:ascii="Arial" w:hAnsi="Arial" w:cs="Arial"/>
          <w:b/>
          <w:sz w:val="24"/>
          <w:szCs w:val="24"/>
        </w:rPr>
        <w:t>,</w:t>
      </w:r>
      <w:r w:rsidRPr="00D06091">
        <w:rPr>
          <w:rFonts w:ascii="Arial" w:hAnsi="Arial" w:cs="Arial"/>
          <w:b/>
          <w:sz w:val="24"/>
          <w:szCs w:val="24"/>
        </w:rPr>
        <w:t xml:space="preserve"> </w:t>
      </w:r>
      <w:r w:rsidR="006D0C80" w:rsidRPr="00D06091">
        <w:rPr>
          <w:rFonts w:ascii="Arial" w:hAnsi="Arial" w:cs="Arial"/>
          <w:b/>
          <w:sz w:val="24"/>
          <w:szCs w:val="24"/>
        </w:rPr>
        <w:t xml:space="preserve">and immunogenicity </w:t>
      </w:r>
      <w:r w:rsidRPr="00D06091">
        <w:rPr>
          <w:rFonts w:ascii="Arial" w:hAnsi="Arial" w:cs="Arial"/>
          <w:b/>
          <w:sz w:val="24"/>
          <w:szCs w:val="24"/>
        </w:rPr>
        <w:t xml:space="preserve">of GP2015, an </w:t>
      </w:r>
      <w:proofErr w:type="spellStart"/>
      <w:r w:rsidRPr="00D06091">
        <w:rPr>
          <w:rFonts w:ascii="Arial" w:hAnsi="Arial" w:cs="Arial"/>
          <w:b/>
          <w:sz w:val="24"/>
          <w:szCs w:val="24"/>
        </w:rPr>
        <w:t>e</w:t>
      </w:r>
      <w:r w:rsidR="00B02826" w:rsidRPr="00D06091">
        <w:rPr>
          <w:rFonts w:ascii="Arial" w:hAnsi="Arial" w:cs="Arial"/>
          <w:b/>
          <w:sz w:val="24"/>
          <w:szCs w:val="24"/>
        </w:rPr>
        <w:t>tanercept</w:t>
      </w:r>
      <w:proofErr w:type="spellEnd"/>
      <w:r w:rsidR="00B02826" w:rsidRPr="00D060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02826" w:rsidRPr="00D06091">
        <w:rPr>
          <w:rFonts w:ascii="Arial" w:hAnsi="Arial" w:cs="Arial"/>
          <w:b/>
          <w:sz w:val="24"/>
          <w:szCs w:val="24"/>
        </w:rPr>
        <w:t>biosimilar</w:t>
      </w:r>
      <w:proofErr w:type="spellEnd"/>
      <w:r w:rsidR="00EE3547" w:rsidRPr="00D06091">
        <w:rPr>
          <w:rFonts w:ascii="Arial" w:hAnsi="Arial" w:cs="Arial"/>
          <w:b/>
          <w:sz w:val="24"/>
          <w:szCs w:val="24"/>
        </w:rPr>
        <w:t>,</w:t>
      </w:r>
      <w:r w:rsidR="00B02826" w:rsidRPr="00D06091">
        <w:rPr>
          <w:rFonts w:ascii="Arial" w:hAnsi="Arial" w:cs="Arial"/>
          <w:b/>
          <w:sz w:val="24"/>
          <w:szCs w:val="24"/>
        </w:rPr>
        <w:t xml:space="preserve"> </w:t>
      </w:r>
      <w:r w:rsidR="00EE3547" w:rsidRPr="00D06091">
        <w:rPr>
          <w:rFonts w:ascii="Arial" w:hAnsi="Arial" w:cs="Arial"/>
          <w:b/>
          <w:sz w:val="24"/>
          <w:szCs w:val="24"/>
        </w:rPr>
        <w:t>compared to the</w:t>
      </w:r>
      <w:r w:rsidR="00B02826" w:rsidRPr="00D06091">
        <w:rPr>
          <w:rFonts w:ascii="Arial" w:hAnsi="Arial" w:cs="Arial"/>
          <w:b/>
          <w:sz w:val="24"/>
          <w:szCs w:val="24"/>
        </w:rPr>
        <w:t xml:space="preserve"> </w:t>
      </w:r>
      <w:r w:rsidRPr="00D06091">
        <w:rPr>
          <w:rFonts w:ascii="Arial" w:hAnsi="Arial" w:cs="Arial"/>
          <w:b/>
          <w:sz w:val="24"/>
          <w:szCs w:val="24"/>
        </w:rPr>
        <w:t xml:space="preserve">reference </w:t>
      </w:r>
      <w:proofErr w:type="spellStart"/>
      <w:r w:rsidRPr="00D06091">
        <w:rPr>
          <w:rFonts w:ascii="Arial" w:hAnsi="Arial" w:cs="Arial"/>
          <w:b/>
          <w:sz w:val="24"/>
          <w:szCs w:val="24"/>
        </w:rPr>
        <w:t>etane</w:t>
      </w:r>
      <w:r w:rsidR="00B02826" w:rsidRPr="00D06091">
        <w:rPr>
          <w:rFonts w:ascii="Arial" w:hAnsi="Arial" w:cs="Arial"/>
          <w:b/>
          <w:sz w:val="24"/>
          <w:szCs w:val="24"/>
        </w:rPr>
        <w:t>rcept</w:t>
      </w:r>
      <w:proofErr w:type="spellEnd"/>
      <w:r w:rsidR="00B02826" w:rsidRPr="00D06091">
        <w:rPr>
          <w:rFonts w:ascii="Arial" w:hAnsi="Arial" w:cs="Arial"/>
          <w:b/>
          <w:sz w:val="24"/>
          <w:szCs w:val="24"/>
        </w:rPr>
        <w:t xml:space="preserve"> in patients with moderate-</w:t>
      </w:r>
      <w:r w:rsidRPr="00D06091">
        <w:rPr>
          <w:rFonts w:ascii="Arial" w:hAnsi="Arial" w:cs="Arial"/>
          <w:b/>
          <w:sz w:val="24"/>
          <w:szCs w:val="24"/>
        </w:rPr>
        <w:t>to</w:t>
      </w:r>
      <w:r w:rsidR="00B02826" w:rsidRPr="00D06091">
        <w:rPr>
          <w:rFonts w:ascii="Arial" w:hAnsi="Arial" w:cs="Arial"/>
          <w:b/>
          <w:sz w:val="24"/>
          <w:szCs w:val="24"/>
        </w:rPr>
        <w:t>-</w:t>
      </w:r>
      <w:r w:rsidRPr="00D06091">
        <w:rPr>
          <w:rFonts w:ascii="Arial" w:hAnsi="Arial" w:cs="Arial"/>
          <w:b/>
          <w:sz w:val="24"/>
          <w:szCs w:val="24"/>
        </w:rPr>
        <w:t xml:space="preserve">severe rheumatoid arthritis: </w:t>
      </w:r>
      <w:r w:rsidR="00E43AFB" w:rsidRPr="00D06091">
        <w:rPr>
          <w:rFonts w:ascii="Arial" w:hAnsi="Arial" w:cs="Arial"/>
          <w:b/>
          <w:sz w:val="24"/>
          <w:szCs w:val="24"/>
        </w:rPr>
        <w:t>24-week results from t</w:t>
      </w:r>
      <w:r w:rsidRPr="00D06091">
        <w:rPr>
          <w:rFonts w:ascii="Arial" w:hAnsi="Arial" w:cs="Arial"/>
          <w:b/>
          <w:sz w:val="24"/>
          <w:szCs w:val="24"/>
        </w:rPr>
        <w:t xml:space="preserve">he </w:t>
      </w:r>
      <w:r w:rsidR="00CA27C3" w:rsidRPr="00D06091">
        <w:rPr>
          <w:rFonts w:ascii="Arial" w:hAnsi="Arial" w:cs="Arial"/>
          <w:b/>
          <w:sz w:val="24"/>
          <w:szCs w:val="24"/>
        </w:rPr>
        <w:t>comparative</w:t>
      </w:r>
      <w:r w:rsidR="00BA43DC" w:rsidRPr="00D06091">
        <w:rPr>
          <w:rFonts w:ascii="Arial" w:hAnsi="Arial" w:cs="Arial"/>
          <w:b/>
          <w:sz w:val="24"/>
          <w:szCs w:val="24"/>
        </w:rPr>
        <w:t xml:space="preserve"> </w:t>
      </w:r>
      <w:r w:rsidR="00B02826" w:rsidRPr="00D06091">
        <w:rPr>
          <w:rFonts w:ascii="Arial" w:hAnsi="Arial" w:cs="Arial"/>
          <w:b/>
          <w:sz w:val="24"/>
          <w:szCs w:val="24"/>
        </w:rPr>
        <w:t>P</w:t>
      </w:r>
      <w:r w:rsidRPr="00D06091">
        <w:rPr>
          <w:rFonts w:ascii="Arial" w:hAnsi="Arial" w:cs="Arial"/>
          <w:b/>
          <w:sz w:val="24"/>
          <w:szCs w:val="24"/>
        </w:rPr>
        <w:t>hase III</w:t>
      </w:r>
      <w:r w:rsidR="00BB55A8" w:rsidRPr="00D060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BB55A8" w:rsidRPr="00D06091">
        <w:rPr>
          <w:rFonts w:ascii="Arial" w:hAnsi="Arial" w:cs="Arial"/>
          <w:b/>
          <w:sz w:val="24"/>
          <w:szCs w:val="24"/>
        </w:rPr>
        <w:t>randomised</w:t>
      </w:r>
      <w:proofErr w:type="spellEnd"/>
      <w:r w:rsidR="00BB55A8" w:rsidRPr="00D06091">
        <w:rPr>
          <w:rFonts w:ascii="Arial" w:hAnsi="Arial" w:cs="Arial"/>
          <w:b/>
          <w:sz w:val="24"/>
          <w:szCs w:val="24"/>
        </w:rPr>
        <w:t>, double-blind,</w:t>
      </w:r>
      <w:r w:rsidRPr="00D06091">
        <w:rPr>
          <w:rFonts w:ascii="Arial" w:hAnsi="Arial" w:cs="Arial"/>
          <w:b/>
          <w:sz w:val="24"/>
          <w:szCs w:val="24"/>
        </w:rPr>
        <w:t xml:space="preserve"> EQUIRA study</w:t>
      </w:r>
    </w:p>
    <w:p w:rsidR="006B361E" w:rsidRPr="002C7612" w:rsidRDefault="006B361E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Marco Matucci</w:t>
      </w:r>
      <w:r w:rsidR="00FA0DFF">
        <w:rPr>
          <w:rFonts w:ascii="Arial" w:hAnsi="Arial" w:cs="Arial"/>
          <w:sz w:val="24"/>
          <w:szCs w:val="24"/>
        </w:rPr>
        <w:t>-</w:t>
      </w:r>
      <w:r w:rsidRPr="002C7612">
        <w:rPr>
          <w:rFonts w:ascii="Arial" w:hAnsi="Arial" w:cs="Arial"/>
          <w:sz w:val="24"/>
          <w:szCs w:val="24"/>
        </w:rPr>
        <w:t>Cerinic,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1</w:t>
      </w:r>
      <w:r w:rsidR="00B02826" w:rsidRPr="002C76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612">
        <w:rPr>
          <w:rFonts w:ascii="Arial" w:hAnsi="Arial" w:cs="Arial"/>
          <w:sz w:val="24"/>
          <w:szCs w:val="24"/>
        </w:rPr>
        <w:t>Yannick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Allanore,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2</w:t>
      </w:r>
      <w:r w:rsidRPr="002C7612">
        <w:rPr>
          <w:rFonts w:ascii="Arial" w:hAnsi="Arial" w:cs="Arial"/>
          <w:sz w:val="24"/>
          <w:szCs w:val="24"/>
        </w:rPr>
        <w:t xml:space="preserve"> Arthur Kavanaugh,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3</w:t>
      </w:r>
      <w:r w:rsidRPr="002C7612">
        <w:rPr>
          <w:rFonts w:ascii="Arial" w:hAnsi="Arial" w:cs="Arial"/>
          <w:sz w:val="24"/>
          <w:szCs w:val="24"/>
        </w:rPr>
        <w:t xml:space="preserve"> Maya </w:t>
      </w:r>
      <w:r w:rsidR="00DE133B">
        <w:rPr>
          <w:rFonts w:ascii="Arial" w:hAnsi="Arial" w:cs="Arial"/>
          <w:sz w:val="24"/>
          <w:szCs w:val="24"/>
        </w:rPr>
        <w:t xml:space="preserve">H. </w:t>
      </w:r>
      <w:r w:rsidRPr="002C7612">
        <w:rPr>
          <w:rFonts w:ascii="Arial" w:hAnsi="Arial" w:cs="Arial"/>
          <w:sz w:val="24"/>
          <w:szCs w:val="24"/>
        </w:rPr>
        <w:t>Buch,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4</w:t>
      </w:r>
      <w:r w:rsidRPr="002C76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612">
        <w:rPr>
          <w:rFonts w:ascii="Arial" w:hAnsi="Arial" w:cs="Arial"/>
          <w:sz w:val="24"/>
          <w:szCs w:val="24"/>
        </w:rPr>
        <w:t>Hendrik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Schulze-Koops,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5</w:t>
      </w:r>
      <w:r w:rsidRPr="002C7612">
        <w:rPr>
          <w:rFonts w:ascii="Arial" w:hAnsi="Arial" w:cs="Arial"/>
          <w:sz w:val="24"/>
          <w:szCs w:val="24"/>
        </w:rPr>
        <w:t xml:space="preserve"> Eugeniusz J. Kucharz,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6</w:t>
      </w:r>
      <w:r w:rsidRPr="002C7612">
        <w:rPr>
          <w:rFonts w:ascii="Arial" w:hAnsi="Arial" w:cs="Arial"/>
          <w:sz w:val="24"/>
          <w:szCs w:val="24"/>
        </w:rPr>
        <w:t xml:space="preserve"> Heike Woehling,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7</w:t>
      </w:r>
      <w:r w:rsidRPr="002C76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612">
        <w:rPr>
          <w:rFonts w:ascii="Arial" w:hAnsi="Arial" w:cs="Arial"/>
          <w:sz w:val="24"/>
          <w:szCs w:val="24"/>
        </w:rPr>
        <w:t>Goran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Babic,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7</w:t>
      </w:r>
      <w:r w:rsidRPr="002C7612">
        <w:rPr>
          <w:rFonts w:ascii="Arial" w:hAnsi="Arial" w:cs="Arial"/>
          <w:sz w:val="24"/>
          <w:szCs w:val="24"/>
        </w:rPr>
        <w:t xml:space="preserve"> Johann Poetzl,</w:t>
      </w:r>
      <w:r w:rsidR="0067604F" w:rsidRPr="002C7612">
        <w:rPr>
          <w:rFonts w:ascii="Arial" w:hAnsi="Arial" w:cs="Arial"/>
          <w:sz w:val="24"/>
          <w:szCs w:val="24"/>
          <w:vertAlign w:val="superscript"/>
        </w:rPr>
        <w:t>7</w:t>
      </w:r>
      <w:r w:rsidRPr="002C76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7612">
        <w:rPr>
          <w:rFonts w:ascii="Arial" w:hAnsi="Arial" w:cs="Arial"/>
          <w:sz w:val="24"/>
          <w:szCs w:val="24"/>
        </w:rPr>
        <w:t>Adanna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Davis</w:t>
      </w:r>
      <w:r w:rsidR="007D33DF">
        <w:rPr>
          <w:rFonts w:ascii="Arial" w:hAnsi="Arial" w:cs="Arial"/>
          <w:sz w:val="24"/>
          <w:szCs w:val="24"/>
          <w:vertAlign w:val="superscript"/>
        </w:rPr>
        <w:t>8</w:t>
      </w:r>
      <w:r w:rsidR="001073FC" w:rsidRPr="001073FC">
        <w:rPr>
          <w:rFonts w:ascii="Arial" w:hAnsi="Arial" w:cs="Arial"/>
          <w:sz w:val="24"/>
          <w:szCs w:val="24"/>
        </w:rPr>
        <w:t>,</w:t>
      </w:r>
      <w:r w:rsidR="001073FC">
        <w:rPr>
          <w:rFonts w:ascii="Arial" w:hAnsi="Arial" w:cs="Arial"/>
          <w:sz w:val="24"/>
          <w:szCs w:val="24"/>
          <w:vertAlign w:val="superscript"/>
        </w:rPr>
        <w:t xml:space="preserve"> </w:t>
      </w:r>
      <w:proofErr w:type="spellStart"/>
      <w:r w:rsidR="001073FC" w:rsidRPr="002C7612">
        <w:rPr>
          <w:rFonts w:ascii="Arial" w:hAnsi="Arial" w:cs="Arial"/>
          <w:sz w:val="24"/>
          <w:szCs w:val="24"/>
        </w:rPr>
        <w:t>Arnd</w:t>
      </w:r>
      <w:proofErr w:type="spellEnd"/>
      <w:r w:rsidR="001073FC" w:rsidRPr="002C7612">
        <w:rPr>
          <w:rFonts w:ascii="Arial" w:hAnsi="Arial" w:cs="Arial"/>
          <w:sz w:val="24"/>
          <w:szCs w:val="24"/>
        </w:rPr>
        <w:t xml:space="preserve"> Schwebig</w:t>
      </w:r>
      <w:r w:rsidR="001073FC" w:rsidRPr="002C7612">
        <w:rPr>
          <w:rFonts w:ascii="Arial" w:hAnsi="Arial" w:cs="Arial"/>
          <w:sz w:val="24"/>
          <w:szCs w:val="24"/>
          <w:vertAlign w:val="superscript"/>
        </w:rPr>
        <w:t>7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FA0DFF">
        <w:rPr>
          <w:rFonts w:ascii="Arial" w:hAnsi="Arial" w:cs="Arial"/>
          <w:sz w:val="24"/>
          <w:szCs w:val="24"/>
          <w:vertAlign w:val="superscript"/>
        </w:rPr>
        <w:t>1</w:t>
      </w:r>
      <w:r w:rsidR="00FA0DFF">
        <w:rPr>
          <w:rFonts w:ascii="Arial" w:hAnsi="Arial" w:cs="Arial"/>
          <w:sz w:val="24"/>
          <w:szCs w:val="24"/>
        </w:rPr>
        <w:t>Dep</w:t>
      </w:r>
      <w:r w:rsidR="00EC057A">
        <w:rPr>
          <w:rFonts w:ascii="Arial" w:hAnsi="Arial" w:cs="Arial"/>
          <w:sz w:val="24"/>
          <w:szCs w:val="24"/>
        </w:rPr>
        <w:t>ar</w:t>
      </w:r>
      <w:r w:rsidR="00FA0DFF">
        <w:rPr>
          <w:rFonts w:ascii="Arial" w:hAnsi="Arial" w:cs="Arial"/>
          <w:sz w:val="24"/>
          <w:szCs w:val="24"/>
        </w:rPr>
        <w:t>t</w:t>
      </w:r>
      <w:r w:rsidR="00EC057A">
        <w:rPr>
          <w:rFonts w:ascii="Arial" w:hAnsi="Arial" w:cs="Arial"/>
          <w:sz w:val="24"/>
          <w:szCs w:val="24"/>
        </w:rPr>
        <w:t>ment</w:t>
      </w:r>
      <w:r w:rsidR="00034916">
        <w:rPr>
          <w:rFonts w:ascii="Arial" w:hAnsi="Arial" w:cs="Arial"/>
          <w:sz w:val="24"/>
          <w:szCs w:val="24"/>
        </w:rPr>
        <w:t xml:space="preserve"> of </w:t>
      </w:r>
      <w:r w:rsidR="00FA0DFF">
        <w:rPr>
          <w:rFonts w:ascii="Arial" w:hAnsi="Arial" w:cs="Arial"/>
          <w:sz w:val="24"/>
          <w:szCs w:val="24"/>
        </w:rPr>
        <w:t>Experimental and Clinical Medicine, Div</w:t>
      </w:r>
      <w:r w:rsidR="00EC057A">
        <w:rPr>
          <w:rFonts w:ascii="Arial" w:hAnsi="Arial" w:cs="Arial"/>
          <w:sz w:val="24"/>
          <w:szCs w:val="24"/>
        </w:rPr>
        <w:t>isio</w:t>
      </w:r>
      <w:r w:rsidR="00204E60">
        <w:rPr>
          <w:rFonts w:ascii="Arial" w:hAnsi="Arial" w:cs="Arial"/>
          <w:sz w:val="24"/>
          <w:szCs w:val="24"/>
        </w:rPr>
        <w:t>n</w:t>
      </w:r>
      <w:r w:rsidR="00FA0DFF">
        <w:rPr>
          <w:rFonts w:ascii="Arial" w:hAnsi="Arial" w:cs="Arial"/>
          <w:sz w:val="24"/>
          <w:szCs w:val="24"/>
        </w:rPr>
        <w:t xml:space="preserve"> of Rheumatology AOUC; </w:t>
      </w:r>
      <w:r w:rsidR="00204E60">
        <w:rPr>
          <w:rFonts w:ascii="Arial" w:hAnsi="Arial" w:cs="Arial"/>
          <w:sz w:val="24"/>
          <w:szCs w:val="24"/>
        </w:rPr>
        <w:t>U</w:t>
      </w:r>
      <w:r w:rsidR="00CB2BF4" w:rsidRPr="00FA0DFF">
        <w:rPr>
          <w:rFonts w:ascii="Arial" w:hAnsi="Arial" w:cs="Arial"/>
          <w:sz w:val="24"/>
          <w:szCs w:val="24"/>
        </w:rPr>
        <w:t>niversity</w:t>
      </w:r>
      <w:r w:rsidR="00CB2BF4" w:rsidRPr="002C7612">
        <w:rPr>
          <w:rFonts w:ascii="Arial" w:hAnsi="Arial" w:cs="Arial"/>
          <w:sz w:val="24"/>
          <w:szCs w:val="24"/>
        </w:rPr>
        <w:t xml:space="preserve"> of Florence, Florence, Italy;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  <w:vertAlign w:val="superscript"/>
        </w:rPr>
        <w:t>2</w:t>
      </w:r>
      <w:r w:rsidRPr="002C7612">
        <w:rPr>
          <w:rFonts w:ascii="Arial" w:hAnsi="Arial" w:cs="Arial"/>
          <w:sz w:val="24"/>
          <w:szCs w:val="24"/>
        </w:rPr>
        <w:t xml:space="preserve">Cochin Hospital, </w:t>
      </w:r>
      <w:r w:rsidR="00AD5B2F">
        <w:rPr>
          <w:rFonts w:ascii="Arial" w:hAnsi="Arial" w:cs="Arial"/>
          <w:sz w:val="24"/>
          <w:szCs w:val="24"/>
        </w:rPr>
        <w:t xml:space="preserve">Rheumatology A department, </w:t>
      </w:r>
      <w:r w:rsidRPr="002C7612">
        <w:rPr>
          <w:rFonts w:ascii="Arial" w:hAnsi="Arial" w:cs="Arial"/>
          <w:sz w:val="24"/>
          <w:szCs w:val="24"/>
        </w:rPr>
        <w:t>Paris Descartes University, Paris, France;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  <w:vertAlign w:val="superscript"/>
        </w:rPr>
        <w:t>3</w:t>
      </w:r>
      <w:r w:rsidRPr="002C7612">
        <w:rPr>
          <w:rFonts w:ascii="Arial" w:hAnsi="Arial" w:cs="Arial"/>
          <w:sz w:val="24"/>
          <w:szCs w:val="24"/>
        </w:rPr>
        <w:t>UC San Diego School of Medicine, La Jolla, California, USA;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  <w:vertAlign w:val="superscript"/>
        </w:rPr>
        <w:t>4</w:t>
      </w:r>
      <w:r w:rsidR="00CB2BF4" w:rsidRPr="002C7612">
        <w:rPr>
          <w:rFonts w:ascii="Arial" w:hAnsi="Arial" w:cs="Arial"/>
          <w:sz w:val="24"/>
          <w:szCs w:val="24"/>
        </w:rPr>
        <w:t>University of Leeds</w:t>
      </w:r>
      <w:r w:rsidR="008E16B7">
        <w:rPr>
          <w:rFonts w:ascii="Arial" w:hAnsi="Arial" w:cs="Arial"/>
          <w:sz w:val="24"/>
          <w:szCs w:val="24"/>
        </w:rPr>
        <w:t xml:space="preserve"> &amp; NIHR Leeds Biomedical Research Centre</w:t>
      </w:r>
      <w:r w:rsidR="00CB2BF4" w:rsidRPr="002C7612">
        <w:rPr>
          <w:rFonts w:ascii="Arial" w:hAnsi="Arial" w:cs="Arial"/>
          <w:sz w:val="24"/>
          <w:szCs w:val="24"/>
        </w:rPr>
        <w:t>, Leeds, United Kingdom;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FA0DFF">
        <w:rPr>
          <w:rFonts w:ascii="Arial" w:hAnsi="Arial" w:cs="Arial"/>
          <w:sz w:val="24"/>
          <w:szCs w:val="24"/>
          <w:vertAlign w:val="superscript"/>
        </w:rPr>
        <w:t>5</w:t>
      </w:r>
      <w:r w:rsidR="00A81968">
        <w:rPr>
          <w:rFonts w:ascii="Arial" w:hAnsi="Arial" w:cs="Arial"/>
          <w:sz w:val="24"/>
          <w:szCs w:val="24"/>
        </w:rPr>
        <w:t xml:space="preserve">Division of Rheumatology </w:t>
      </w:r>
      <w:r w:rsidR="00E244A6">
        <w:rPr>
          <w:rFonts w:ascii="Arial" w:hAnsi="Arial" w:cs="Arial"/>
          <w:sz w:val="24"/>
          <w:szCs w:val="24"/>
        </w:rPr>
        <w:t>and Clinical Immunology, Depart</w:t>
      </w:r>
      <w:r w:rsidR="00A81968">
        <w:rPr>
          <w:rFonts w:ascii="Arial" w:hAnsi="Arial" w:cs="Arial"/>
          <w:sz w:val="24"/>
          <w:szCs w:val="24"/>
        </w:rPr>
        <w:t>ment of Internal Medicine IV, L</w:t>
      </w:r>
      <w:r w:rsidR="00CB2BF4" w:rsidRPr="00FA0DFF">
        <w:rPr>
          <w:rFonts w:ascii="Arial" w:hAnsi="Arial" w:cs="Arial"/>
          <w:sz w:val="24"/>
          <w:szCs w:val="24"/>
        </w:rPr>
        <w:t>udwig</w:t>
      </w:r>
      <w:r w:rsidR="00CB2BF4" w:rsidRPr="002C7612">
        <w:rPr>
          <w:rFonts w:ascii="Arial" w:hAnsi="Arial" w:cs="Arial"/>
          <w:sz w:val="24"/>
          <w:szCs w:val="24"/>
        </w:rPr>
        <w:t>-</w:t>
      </w:r>
      <w:proofErr w:type="spellStart"/>
      <w:r w:rsidR="00CB2BF4" w:rsidRPr="002C7612">
        <w:rPr>
          <w:rFonts w:ascii="Arial" w:hAnsi="Arial" w:cs="Arial"/>
          <w:sz w:val="24"/>
          <w:szCs w:val="24"/>
        </w:rPr>
        <w:t>Maximilians</w:t>
      </w:r>
      <w:proofErr w:type="spellEnd"/>
      <w:r w:rsidR="00CB2BF4" w:rsidRPr="002C7612">
        <w:rPr>
          <w:rFonts w:ascii="Arial" w:hAnsi="Arial" w:cs="Arial"/>
          <w:sz w:val="24"/>
          <w:szCs w:val="24"/>
        </w:rPr>
        <w:t>-</w:t>
      </w:r>
      <w:r w:rsidR="007E5A27" w:rsidRPr="002C7612">
        <w:rPr>
          <w:rFonts w:ascii="Arial" w:hAnsi="Arial" w:cs="Arial"/>
          <w:sz w:val="24"/>
          <w:szCs w:val="24"/>
        </w:rPr>
        <w:t xml:space="preserve">University, </w:t>
      </w:r>
      <w:r w:rsidR="00CB2BF4" w:rsidRPr="002C7612">
        <w:rPr>
          <w:rFonts w:ascii="Arial" w:hAnsi="Arial" w:cs="Arial"/>
          <w:sz w:val="24"/>
          <w:szCs w:val="24"/>
        </w:rPr>
        <w:t>Munich, Germany;</w:t>
      </w:r>
    </w:p>
    <w:p w:rsidR="0067604F" w:rsidRPr="002C7612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  <w:vertAlign w:val="superscript"/>
        </w:rPr>
        <w:t>6</w:t>
      </w:r>
      <w:r w:rsidRPr="002C7612">
        <w:rPr>
          <w:rFonts w:ascii="Arial" w:hAnsi="Arial" w:cs="Arial"/>
          <w:sz w:val="24"/>
          <w:szCs w:val="24"/>
        </w:rPr>
        <w:t>Medical University of Silesia, Katowice, Poland;</w:t>
      </w:r>
    </w:p>
    <w:p w:rsidR="0067604F" w:rsidRDefault="0067604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  <w:vertAlign w:val="superscript"/>
        </w:rPr>
        <w:t>7</w:t>
      </w:r>
      <w:r w:rsidRPr="002C7612">
        <w:rPr>
          <w:rFonts w:ascii="Arial" w:hAnsi="Arial" w:cs="Arial"/>
          <w:sz w:val="24"/>
          <w:szCs w:val="24"/>
        </w:rPr>
        <w:t xml:space="preserve">Hexal AG, a Sandoz company, </w:t>
      </w:r>
      <w:proofErr w:type="spellStart"/>
      <w:r w:rsidRPr="002C7612">
        <w:rPr>
          <w:rFonts w:ascii="Arial" w:hAnsi="Arial" w:cs="Arial"/>
          <w:sz w:val="24"/>
          <w:szCs w:val="24"/>
        </w:rPr>
        <w:t>Holzkirchen</w:t>
      </w:r>
      <w:proofErr w:type="spellEnd"/>
      <w:r w:rsidRPr="002C7612">
        <w:rPr>
          <w:rFonts w:ascii="Arial" w:hAnsi="Arial" w:cs="Arial"/>
          <w:sz w:val="24"/>
          <w:szCs w:val="24"/>
        </w:rPr>
        <w:t>, Germany</w:t>
      </w:r>
    </w:p>
    <w:p w:rsidR="007D33DF" w:rsidRPr="002C7612" w:rsidRDefault="007D33DF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7D33DF">
        <w:rPr>
          <w:rFonts w:ascii="Arial" w:hAnsi="Arial" w:cs="Arial"/>
          <w:sz w:val="24"/>
          <w:szCs w:val="24"/>
          <w:vertAlign w:val="superscript"/>
        </w:rPr>
        <w:t>8</w:t>
      </w:r>
      <w:r>
        <w:rPr>
          <w:rFonts w:ascii="Arial" w:hAnsi="Arial" w:cs="Arial"/>
          <w:sz w:val="24"/>
          <w:szCs w:val="24"/>
        </w:rPr>
        <w:t xml:space="preserve"> Sandoz Inc, Princeton N</w:t>
      </w:r>
      <w:r w:rsidR="009B66D1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, USA</w:t>
      </w:r>
    </w:p>
    <w:p w:rsidR="006B361E" w:rsidRPr="002C7612" w:rsidRDefault="006B361E" w:rsidP="006B361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b/>
          <w:sz w:val="24"/>
          <w:szCs w:val="24"/>
        </w:rPr>
        <w:t>Corresponding author:</w:t>
      </w:r>
      <w:r w:rsidRPr="002C7612">
        <w:rPr>
          <w:rFonts w:ascii="Arial" w:hAnsi="Arial" w:cs="Arial"/>
          <w:sz w:val="24"/>
          <w:szCs w:val="24"/>
        </w:rPr>
        <w:t xml:space="preserve"> </w:t>
      </w:r>
    </w:p>
    <w:p w:rsidR="007A5376" w:rsidRPr="007A5376" w:rsidRDefault="001B4407" w:rsidP="00D9682E">
      <w:pPr>
        <w:spacing w:after="0" w:line="480" w:lineRule="auto"/>
        <w:rPr>
          <w:rFonts w:ascii="Arial" w:hAnsi="Arial" w:cs="Arial"/>
          <w:sz w:val="24"/>
          <w:szCs w:val="24"/>
          <w:lang w:val="it-IT"/>
        </w:rPr>
      </w:pPr>
      <w:r w:rsidRPr="007A5376">
        <w:rPr>
          <w:rFonts w:ascii="Arial" w:hAnsi="Arial" w:cs="Arial"/>
          <w:sz w:val="24"/>
          <w:szCs w:val="24"/>
          <w:lang w:val="it-IT"/>
        </w:rPr>
        <w:t>Marco Matucci Cerinic</w:t>
      </w:r>
      <w:r w:rsidR="00C877BC" w:rsidRPr="007A5376">
        <w:rPr>
          <w:rFonts w:ascii="Arial" w:hAnsi="Arial" w:cs="Arial"/>
          <w:sz w:val="24"/>
          <w:szCs w:val="24"/>
          <w:lang w:val="it-IT"/>
        </w:rPr>
        <w:t xml:space="preserve"> MD, PhD</w:t>
      </w:r>
      <w:r w:rsidR="007A5376" w:rsidRPr="007A5376">
        <w:rPr>
          <w:rFonts w:ascii="Arial" w:hAnsi="Arial" w:cs="Arial"/>
          <w:sz w:val="24"/>
          <w:szCs w:val="24"/>
          <w:lang w:val="it-IT"/>
        </w:rPr>
        <w:t>,</w:t>
      </w:r>
    </w:p>
    <w:p w:rsidR="00EF46B5" w:rsidRPr="00FA0DFF" w:rsidRDefault="00C877BC" w:rsidP="00D9682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FA0DFF">
        <w:rPr>
          <w:rFonts w:ascii="Arial" w:hAnsi="Arial" w:cs="Arial"/>
          <w:sz w:val="24"/>
          <w:szCs w:val="24"/>
        </w:rPr>
        <w:t>Dep</w:t>
      </w:r>
      <w:r w:rsidR="00204E60">
        <w:rPr>
          <w:rFonts w:ascii="Arial" w:hAnsi="Arial" w:cs="Arial"/>
          <w:sz w:val="24"/>
          <w:szCs w:val="24"/>
        </w:rPr>
        <w:t>artment</w:t>
      </w:r>
      <w:r w:rsidRPr="00FA0DFF">
        <w:rPr>
          <w:rFonts w:ascii="Arial" w:hAnsi="Arial" w:cs="Arial"/>
          <w:sz w:val="24"/>
          <w:szCs w:val="24"/>
        </w:rPr>
        <w:t xml:space="preserve"> of Experimental &amp; Clinical Medicine, Division of Rheumatology AOUC, </w:t>
      </w:r>
    </w:p>
    <w:p w:rsidR="00C877BC" w:rsidRPr="00B75E9C" w:rsidRDefault="001B4407" w:rsidP="00D9682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75E9C">
        <w:rPr>
          <w:rFonts w:ascii="Arial" w:hAnsi="Arial" w:cs="Arial"/>
          <w:sz w:val="24"/>
          <w:szCs w:val="24"/>
        </w:rPr>
        <w:lastRenderedPageBreak/>
        <w:t xml:space="preserve">University of Florence, </w:t>
      </w:r>
    </w:p>
    <w:p w:rsidR="00204E60" w:rsidRPr="00B75E9C" w:rsidRDefault="00C877BC" w:rsidP="00D9682E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75E9C">
        <w:rPr>
          <w:rFonts w:ascii="Arial" w:hAnsi="Arial" w:cs="Arial"/>
          <w:sz w:val="24"/>
          <w:szCs w:val="24"/>
        </w:rPr>
        <w:t xml:space="preserve">Villa </w:t>
      </w:r>
      <w:proofErr w:type="spellStart"/>
      <w:r w:rsidRPr="00B75E9C">
        <w:rPr>
          <w:rFonts w:ascii="Arial" w:hAnsi="Arial" w:cs="Arial"/>
          <w:sz w:val="24"/>
          <w:szCs w:val="24"/>
        </w:rPr>
        <w:t>Monna</w:t>
      </w:r>
      <w:proofErr w:type="spellEnd"/>
      <w:r w:rsidRPr="00B75E9C">
        <w:rPr>
          <w:rFonts w:ascii="Arial" w:hAnsi="Arial" w:cs="Arial"/>
          <w:sz w:val="24"/>
          <w:szCs w:val="24"/>
        </w:rPr>
        <w:t xml:space="preserve"> Tessa, </w:t>
      </w:r>
    </w:p>
    <w:p w:rsidR="00C877BC" w:rsidRPr="00C34378" w:rsidRDefault="00C877BC" w:rsidP="00D9682E">
      <w:pPr>
        <w:spacing w:after="0" w:line="480" w:lineRule="auto"/>
        <w:rPr>
          <w:rFonts w:ascii="Arial" w:hAnsi="Arial" w:cs="Arial"/>
          <w:sz w:val="24"/>
          <w:szCs w:val="24"/>
          <w:lang w:val="fr-FR"/>
        </w:rPr>
      </w:pPr>
      <w:proofErr w:type="spellStart"/>
      <w:r w:rsidRPr="00C34378">
        <w:rPr>
          <w:rFonts w:ascii="Arial" w:hAnsi="Arial" w:cs="Arial"/>
          <w:sz w:val="24"/>
          <w:szCs w:val="24"/>
          <w:lang w:val="fr-FR"/>
        </w:rPr>
        <w:t>Viale</w:t>
      </w:r>
      <w:proofErr w:type="spellEnd"/>
      <w:r w:rsidRPr="00C34378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34378">
        <w:rPr>
          <w:rFonts w:ascii="Arial" w:hAnsi="Arial" w:cs="Arial"/>
          <w:sz w:val="24"/>
          <w:szCs w:val="24"/>
          <w:lang w:val="fr-FR"/>
        </w:rPr>
        <w:t>Pieraccini</w:t>
      </w:r>
      <w:proofErr w:type="spellEnd"/>
      <w:r w:rsidRPr="00C34378">
        <w:rPr>
          <w:rFonts w:ascii="Arial" w:hAnsi="Arial" w:cs="Arial"/>
          <w:sz w:val="24"/>
          <w:szCs w:val="24"/>
          <w:lang w:val="fr-FR"/>
        </w:rPr>
        <w:t xml:space="preserve"> 18 50139 Firenze,</w:t>
      </w:r>
    </w:p>
    <w:p w:rsidR="001B4407" w:rsidRPr="00C34378" w:rsidRDefault="001B4407" w:rsidP="00D9682E">
      <w:pPr>
        <w:spacing w:after="0" w:line="480" w:lineRule="auto"/>
        <w:rPr>
          <w:rFonts w:ascii="Arial" w:hAnsi="Arial" w:cs="Arial"/>
          <w:sz w:val="24"/>
          <w:szCs w:val="24"/>
          <w:lang w:val="fr-FR"/>
        </w:rPr>
      </w:pPr>
      <w:r w:rsidRPr="00C34378">
        <w:rPr>
          <w:rFonts w:ascii="Arial" w:hAnsi="Arial" w:cs="Arial"/>
          <w:sz w:val="24"/>
          <w:szCs w:val="24"/>
          <w:lang w:val="fr-FR"/>
        </w:rPr>
        <w:t xml:space="preserve">Florence, </w:t>
      </w:r>
      <w:proofErr w:type="spellStart"/>
      <w:r w:rsidRPr="00C34378">
        <w:rPr>
          <w:rFonts w:ascii="Arial" w:hAnsi="Arial" w:cs="Arial"/>
          <w:sz w:val="24"/>
          <w:szCs w:val="24"/>
          <w:lang w:val="fr-FR"/>
        </w:rPr>
        <w:t>Italy</w:t>
      </w:r>
      <w:proofErr w:type="spellEnd"/>
    </w:p>
    <w:p w:rsidR="001B4407" w:rsidRPr="00C34378" w:rsidRDefault="001B4407" w:rsidP="00D9682E">
      <w:pPr>
        <w:spacing w:after="0" w:line="480" w:lineRule="auto"/>
        <w:rPr>
          <w:rFonts w:ascii="Arial" w:hAnsi="Arial" w:cs="Arial"/>
          <w:sz w:val="24"/>
          <w:szCs w:val="24"/>
          <w:lang w:val="fr-FR"/>
        </w:rPr>
      </w:pPr>
      <w:r w:rsidRPr="00C34378">
        <w:rPr>
          <w:rFonts w:ascii="Arial" w:hAnsi="Arial" w:cs="Arial"/>
          <w:b/>
          <w:sz w:val="24"/>
          <w:szCs w:val="24"/>
          <w:lang w:val="fr-FR"/>
        </w:rPr>
        <w:t>Phone:</w:t>
      </w:r>
      <w:r w:rsidR="00C877BC" w:rsidRPr="00C34378">
        <w:rPr>
          <w:rFonts w:ascii="Arial" w:hAnsi="Arial" w:cs="Arial"/>
          <w:sz w:val="24"/>
          <w:szCs w:val="24"/>
          <w:lang w:val="fr-FR"/>
        </w:rPr>
        <w:t xml:space="preserve"> 00390557</w:t>
      </w:r>
      <w:r w:rsidR="00707651" w:rsidRPr="00C34378">
        <w:rPr>
          <w:rFonts w:ascii="Arial" w:hAnsi="Arial" w:cs="Arial"/>
          <w:sz w:val="24"/>
          <w:szCs w:val="24"/>
          <w:lang w:val="fr-FR"/>
        </w:rPr>
        <w:t>94</w:t>
      </w:r>
    </w:p>
    <w:p w:rsidR="001B4407" w:rsidRPr="00C34378" w:rsidRDefault="001B4407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  <w:r w:rsidRPr="00C34378">
        <w:rPr>
          <w:rFonts w:ascii="Arial" w:hAnsi="Arial" w:cs="Arial"/>
          <w:b/>
          <w:sz w:val="24"/>
          <w:szCs w:val="24"/>
          <w:lang w:val="fr-FR"/>
        </w:rPr>
        <w:t>Email:</w:t>
      </w:r>
      <w:r w:rsidR="00EF46B5" w:rsidRPr="00C34378">
        <w:rPr>
          <w:rFonts w:ascii="Arial" w:hAnsi="Arial" w:cs="Arial"/>
          <w:sz w:val="24"/>
          <w:szCs w:val="24"/>
          <w:lang w:val="fr-FR"/>
        </w:rPr>
        <w:t xml:space="preserve"> marco.matuccicerinic@unifi.it</w:t>
      </w:r>
    </w:p>
    <w:p w:rsidR="006B361E" w:rsidRPr="00357266" w:rsidRDefault="006B361E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6B361E" w:rsidRPr="00357266" w:rsidRDefault="006B361E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C56D60" w:rsidRPr="00357266" w:rsidRDefault="00C56D60" w:rsidP="00D9682E">
      <w:pPr>
        <w:spacing w:after="0" w:line="480" w:lineRule="auto"/>
        <w:rPr>
          <w:rFonts w:ascii="Arial" w:hAnsi="Arial" w:cs="Arial"/>
          <w:b/>
          <w:sz w:val="24"/>
          <w:szCs w:val="24"/>
          <w:lang w:val="fr-FR"/>
        </w:rPr>
      </w:pPr>
    </w:p>
    <w:p w:rsidR="00620876" w:rsidRPr="00357266" w:rsidRDefault="00620876" w:rsidP="00085760">
      <w:pPr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085760">
      <w:pPr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085760">
      <w:pPr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085760">
      <w:pPr>
        <w:rPr>
          <w:rFonts w:ascii="Arial" w:hAnsi="Arial" w:cs="Arial"/>
          <w:b/>
          <w:sz w:val="24"/>
          <w:szCs w:val="24"/>
          <w:lang w:val="fr-FR"/>
        </w:rPr>
      </w:pPr>
    </w:p>
    <w:p w:rsidR="00085760" w:rsidRPr="00357266" w:rsidRDefault="00085760" w:rsidP="00085760">
      <w:pPr>
        <w:rPr>
          <w:rFonts w:ascii="Arial" w:hAnsi="Arial" w:cs="Arial"/>
          <w:b/>
          <w:sz w:val="24"/>
          <w:szCs w:val="24"/>
          <w:lang w:val="fr-FR"/>
        </w:rPr>
      </w:pP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C7612">
        <w:rPr>
          <w:rFonts w:ascii="Arial" w:hAnsi="Arial" w:cs="Arial"/>
          <w:b/>
          <w:sz w:val="24"/>
          <w:szCs w:val="24"/>
        </w:rPr>
        <w:lastRenderedPageBreak/>
        <w:t>Randomisation</w:t>
      </w:r>
      <w:proofErr w:type="spellEnd"/>
      <w:r w:rsidRPr="002C7612">
        <w:rPr>
          <w:rFonts w:ascii="Arial" w:hAnsi="Arial" w:cs="Arial"/>
          <w:b/>
          <w:sz w:val="24"/>
          <w:szCs w:val="24"/>
        </w:rPr>
        <w:t xml:space="preserve"> schedule</w:t>
      </w:r>
    </w:p>
    <w:p w:rsidR="00B44A84" w:rsidRPr="002C7612" w:rsidRDefault="00B44A84" w:rsidP="00B44A84">
      <w:pPr>
        <w:spacing w:after="0" w:line="480" w:lineRule="auto"/>
        <w:ind w:left="360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All eligible patients were </w:t>
      </w:r>
      <w:proofErr w:type="spellStart"/>
      <w:r w:rsidRPr="002C7612">
        <w:rPr>
          <w:rFonts w:ascii="Arial" w:hAnsi="Arial" w:cs="Arial"/>
          <w:sz w:val="24"/>
          <w:szCs w:val="24"/>
        </w:rPr>
        <w:t>randomised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via the Interactive Response Technology (IRT) system to one of the treatment arms at Visit 2. The IRT system assigned a unique patient identification number with the treatment arm to which the patient had been assigned and a unique medication number that allowed the assignment of medication packs to the patient. </w:t>
      </w:r>
      <w:proofErr w:type="spellStart"/>
      <w:r w:rsidRPr="002C7612">
        <w:rPr>
          <w:rFonts w:ascii="Arial" w:hAnsi="Arial" w:cs="Arial"/>
          <w:sz w:val="24"/>
          <w:szCs w:val="24"/>
        </w:rPr>
        <w:t>Randomisation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was stratified at baseline by region, body weight (the body weight assessed at baseline), and prior therapy to ensure balance allocation of patients to treatment groups within the strata. Th</w:t>
      </w:r>
      <w:r w:rsidR="001C158D">
        <w:rPr>
          <w:rFonts w:ascii="Arial" w:hAnsi="Arial" w:cs="Arial"/>
          <w:sz w:val="24"/>
          <w:szCs w:val="24"/>
        </w:rPr>
        <w:t>e strata for body weight were “</w:t>
      </w:r>
      <w:r w:rsidRPr="002C7612">
        <w:rPr>
          <w:rFonts w:ascii="Arial" w:hAnsi="Arial" w:cs="Arial"/>
          <w:sz w:val="24"/>
          <w:szCs w:val="24"/>
        </w:rPr>
        <w:t>body weight &lt; 90 kg” or “body weight ≥90 kg”. The strata for region were “US+ Mexico” and “Europe”. The strata for prior therapy</w:t>
      </w:r>
      <w:r w:rsidR="00793439" w:rsidRPr="002C7612">
        <w:rPr>
          <w:rFonts w:ascii="Arial" w:hAnsi="Arial" w:cs="Arial"/>
          <w:sz w:val="24"/>
          <w:szCs w:val="24"/>
        </w:rPr>
        <w:t xml:space="preserve"> followed a hierarchy and </w:t>
      </w:r>
      <w:r w:rsidRPr="002C7612">
        <w:rPr>
          <w:rFonts w:ascii="Arial" w:hAnsi="Arial" w:cs="Arial"/>
          <w:sz w:val="24"/>
          <w:szCs w:val="24"/>
        </w:rPr>
        <w:t xml:space="preserve">were “prior treatment with </w:t>
      </w:r>
      <w:proofErr w:type="spellStart"/>
      <w:r w:rsidRPr="002C7612">
        <w:rPr>
          <w:rFonts w:ascii="Arial" w:hAnsi="Arial" w:cs="Arial"/>
          <w:sz w:val="24"/>
          <w:szCs w:val="24"/>
        </w:rPr>
        <w:t>methotrexate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(MTX) only”, “prior treatment with MTX and one disease modifying anti-rheumatic drug (DMARD)”, “prior treatment with a </w:t>
      </w:r>
      <w:proofErr w:type="spellStart"/>
      <w:r w:rsidRPr="002C7612">
        <w:rPr>
          <w:rFonts w:ascii="Arial" w:hAnsi="Arial" w:cs="Arial"/>
          <w:sz w:val="24"/>
          <w:szCs w:val="24"/>
        </w:rPr>
        <w:t>tumour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necrosis factor (TNF) antagonist”, or “prior treatment with other biologics”. </w:t>
      </w:r>
    </w:p>
    <w:p w:rsidR="00B44A84" w:rsidRPr="002C7612" w:rsidRDefault="00B44A84" w:rsidP="00B44A84">
      <w:pPr>
        <w:spacing w:after="0" w:line="480" w:lineRule="auto"/>
        <w:ind w:left="360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Patients, investigator staff, persons performing the assessments, and data analysts remained blinded to the id</w:t>
      </w:r>
      <w:r w:rsidR="001C158D">
        <w:rPr>
          <w:rFonts w:ascii="Arial" w:hAnsi="Arial" w:cs="Arial"/>
          <w:sz w:val="24"/>
          <w:szCs w:val="24"/>
        </w:rPr>
        <w:t>entity of the treatment during Treatment P</w:t>
      </w:r>
      <w:r w:rsidRPr="002C7612">
        <w:rPr>
          <w:rFonts w:ascii="Arial" w:hAnsi="Arial" w:cs="Arial"/>
          <w:sz w:val="24"/>
          <w:szCs w:val="24"/>
        </w:rPr>
        <w:t xml:space="preserve">eriod 1 (TP1) for the duration of the study. Once all patients completed Week 24, designated sponsor team members were </w:t>
      </w:r>
      <w:proofErr w:type="spellStart"/>
      <w:r w:rsidRPr="002C7612">
        <w:rPr>
          <w:rFonts w:ascii="Arial" w:hAnsi="Arial" w:cs="Arial"/>
          <w:sz w:val="24"/>
          <w:szCs w:val="24"/>
        </w:rPr>
        <w:t>unblinded</w:t>
      </w:r>
      <w:proofErr w:type="spellEnd"/>
      <w:r w:rsidRPr="002C7612">
        <w:rPr>
          <w:rFonts w:ascii="Arial" w:hAnsi="Arial" w:cs="Arial"/>
          <w:sz w:val="24"/>
          <w:szCs w:val="24"/>
        </w:rPr>
        <w:t>, whereas the patients, investigator staff, and persons performing the assessments remained blinded until final database lock. The study treatments were provided as prefilled syringes for single use.</w:t>
      </w: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i/>
          <w:sz w:val="24"/>
          <w:szCs w:val="24"/>
        </w:rPr>
      </w:pPr>
      <w:r w:rsidRPr="002C7612">
        <w:rPr>
          <w:rFonts w:ascii="Arial" w:hAnsi="Arial" w:cs="Arial"/>
          <w:i/>
          <w:sz w:val="24"/>
          <w:szCs w:val="24"/>
        </w:rPr>
        <w:t>Exclusion criteria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Previous exposure to </w:t>
      </w:r>
      <w:proofErr w:type="spellStart"/>
      <w:r w:rsidRPr="002C7612">
        <w:rPr>
          <w:rFonts w:ascii="Arial" w:hAnsi="Arial" w:cs="Arial"/>
          <w:sz w:val="24"/>
          <w:szCs w:val="24"/>
        </w:rPr>
        <w:t>etanercept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in the past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lastRenderedPageBreak/>
        <w:t xml:space="preserve">Treatment with any other biologic therapy for rheumatoid arthritis, including </w:t>
      </w:r>
      <w:proofErr w:type="spellStart"/>
      <w:r w:rsidRPr="002C7612">
        <w:rPr>
          <w:rFonts w:ascii="Arial" w:hAnsi="Arial" w:cs="Arial"/>
          <w:sz w:val="24"/>
          <w:szCs w:val="24"/>
        </w:rPr>
        <w:t>TNFα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inhibitors, anti-CD20, immune-modulator drug(s), other investigational drug(s) and /or device(s) within 3 months or 5 half-lives at the time of enrollment whichever is longer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Previous use of &gt;2 biologics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Primary and secondary biologic therapy failures in the opinion of the investigator (e.g. patients with biologic treatment stopped because of safety and/or efficacy issues)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Subjects taking high potency </w:t>
      </w:r>
      <w:proofErr w:type="spellStart"/>
      <w:r w:rsidRPr="002C7612">
        <w:rPr>
          <w:rFonts w:ascii="Arial" w:hAnsi="Arial" w:cs="Arial"/>
          <w:sz w:val="24"/>
          <w:szCs w:val="24"/>
        </w:rPr>
        <w:t>opioid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analgesics, or any intramuscular corticosteroid injection, or any therapy by intra-</w:t>
      </w:r>
      <w:proofErr w:type="spellStart"/>
      <w:r w:rsidRPr="002C7612">
        <w:rPr>
          <w:rFonts w:ascii="Arial" w:hAnsi="Arial" w:cs="Arial"/>
          <w:sz w:val="24"/>
          <w:szCs w:val="24"/>
        </w:rPr>
        <w:t>articular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injection required for treatment of acute rheumatoid arthritis flare within 4 weeks before baseline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History of known hypersensitivity to any ingredients of the investigational medicinal product, to any recombinant human protein or any of the </w:t>
      </w:r>
      <w:proofErr w:type="spellStart"/>
      <w:r w:rsidRPr="002C7612">
        <w:rPr>
          <w:rFonts w:ascii="Arial" w:hAnsi="Arial" w:cs="Arial"/>
          <w:sz w:val="24"/>
          <w:szCs w:val="24"/>
        </w:rPr>
        <w:t>excipients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used in GP2015 or ETN 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Patients who are allergic to rubber or latex (the needle cover on the prefilled syringes for both GP2015 and ETN contains dry natural rubber)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Patients with functional status class IV according to the ACR 1991 revised criteria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Systemic manifestation of rheumatoid arthritis, with the exception of </w:t>
      </w:r>
      <w:proofErr w:type="spellStart"/>
      <w:r w:rsidRPr="002C7612">
        <w:rPr>
          <w:rFonts w:ascii="Arial" w:hAnsi="Arial" w:cs="Arial"/>
          <w:sz w:val="24"/>
          <w:szCs w:val="24"/>
        </w:rPr>
        <w:t>Sjögren’s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syndrome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Active ongoing inflammatory diseases other than rheumatoid arthritis that might confound the evaluation of the efficacy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lastRenderedPageBreak/>
        <w:t xml:space="preserve">Pregnant or nursing (lactating) women, where pregnancy is defined as the state of a female after conception and until the termination of gestation, confirmed by a positive </w:t>
      </w:r>
      <w:proofErr w:type="spellStart"/>
      <w:r w:rsidRPr="002C7612">
        <w:rPr>
          <w:rFonts w:ascii="Arial" w:hAnsi="Arial" w:cs="Arial"/>
          <w:sz w:val="24"/>
          <w:szCs w:val="24"/>
        </w:rPr>
        <w:t>hCG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laboratory test (&gt; 5 </w:t>
      </w:r>
      <w:proofErr w:type="spellStart"/>
      <w:r w:rsidRPr="002C7612">
        <w:rPr>
          <w:rFonts w:ascii="Arial" w:hAnsi="Arial" w:cs="Arial"/>
          <w:sz w:val="24"/>
          <w:szCs w:val="24"/>
        </w:rPr>
        <w:t>mIU</w:t>
      </w:r>
      <w:proofErr w:type="spellEnd"/>
      <w:r w:rsidRPr="002C7612">
        <w:rPr>
          <w:rFonts w:ascii="Arial" w:hAnsi="Arial" w:cs="Arial"/>
          <w:sz w:val="24"/>
          <w:szCs w:val="24"/>
        </w:rPr>
        <w:t>/</w:t>
      </w:r>
      <w:proofErr w:type="spellStart"/>
      <w:r w:rsidRPr="002C7612">
        <w:rPr>
          <w:rFonts w:ascii="Arial" w:hAnsi="Arial" w:cs="Arial"/>
          <w:sz w:val="24"/>
          <w:szCs w:val="24"/>
        </w:rPr>
        <w:t>mL</w:t>
      </w:r>
      <w:proofErr w:type="spellEnd"/>
      <w:r w:rsidRPr="002C7612">
        <w:rPr>
          <w:rFonts w:ascii="Arial" w:hAnsi="Arial" w:cs="Arial"/>
          <w:sz w:val="24"/>
          <w:szCs w:val="24"/>
        </w:rPr>
        <w:t>).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Women of child-bearing potential not willing to use highly effective contraception throughout the study and for at least 3 months after study drug discontinuation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Pre-existing or recent-onset central or peripheral nervous system </w:t>
      </w:r>
      <w:proofErr w:type="spellStart"/>
      <w:r w:rsidRPr="002C7612">
        <w:rPr>
          <w:rFonts w:ascii="Arial" w:hAnsi="Arial" w:cs="Arial"/>
          <w:sz w:val="24"/>
          <w:szCs w:val="24"/>
        </w:rPr>
        <w:t>demyelinating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disorders according to investigator's discretion, and taking into account neurological assessment; patients who are considered to have an increased risk of developing a </w:t>
      </w:r>
      <w:proofErr w:type="spellStart"/>
      <w:r w:rsidRPr="002C7612">
        <w:rPr>
          <w:rFonts w:ascii="Arial" w:hAnsi="Arial" w:cs="Arial"/>
          <w:sz w:val="24"/>
          <w:szCs w:val="24"/>
        </w:rPr>
        <w:t>demyelinating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disease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Any serious illness or uncontrolled medical condition, including but not limited to significant hepatic or renal disease, uncontrolled hypertension (defined as ≥ 160/95), congestive heart failure (NYHA class III or IV), or other severe, uncontrolled cardiac disease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Patients who have body mass index (BMI) ≥29.9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History of active tuberculosis (TB) and presence of latent (inactive) TB detected by imaging (Chest X-ray [PA or PA and lateral according to local practice]), Computerized Tomography (CT) scan or magnetic resonance imaging (MRI) and/or by the </w:t>
      </w:r>
      <w:proofErr w:type="spellStart"/>
      <w:r w:rsidRPr="002C7612">
        <w:rPr>
          <w:rFonts w:ascii="Arial" w:hAnsi="Arial" w:cs="Arial"/>
          <w:sz w:val="24"/>
          <w:szCs w:val="24"/>
        </w:rPr>
        <w:t>QuantiFERON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®-TB Gold test at screening. Chronic infectious disease or history of recurrent infectious disease or active systemic infection within 2 weeks prior to selection or during the screening period (except for common cold) and patients with a history or evidence of opportunistic infections (e.g. </w:t>
      </w:r>
      <w:proofErr w:type="spellStart"/>
      <w:r w:rsidRPr="002C7612">
        <w:rPr>
          <w:rFonts w:ascii="Arial" w:hAnsi="Arial" w:cs="Arial"/>
          <w:sz w:val="24"/>
          <w:szCs w:val="24"/>
        </w:rPr>
        <w:t>histoplasmosis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7612">
        <w:rPr>
          <w:rFonts w:ascii="Arial" w:hAnsi="Arial" w:cs="Arial"/>
          <w:sz w:val="24"/>
          <w:szCs w:val="24"/>
        </w:rPr>
        <w:t>listeriosis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7612">
        <w:rPr>
          <w:rFonts w:ascii="Arial" w:hAnsi="Arial" w:cs="Arial"/>
          <w:sz w:val="24"/>
          <w:szCs w:val="24"/>
        </w:rPr>
        <w:t>legionellosis</w:t>
      </w:r>
      <w:proofErr w:type="spellEnd"/>
      <w:r w:rsidRPr="002C7612">
        <w:rPr>
          <w:rFonts w:ascii="Arial" w:hAnsi="Arial" w:cs="Arial"/>
          <w:sz w:val="24"/>
          <w:szCs w:val="24"/>
        </w:rPr>
        <w:t>)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lastRenderedPageBreak/>
        <w:t xml:space="preserve">Known immunodeficiency, history of positive serology to human immunodeficiency virus (HIV), or is </w:t>
      </w:r>
      <w:proofErr w:type="spellStart"/>
      <w:r w:rsidRPr="002C7612">
        <w:rPr>
          <w:rFonts w:ascii="Arial" w:hAnsi="Arial" w:cs="Arial"/>
          <w:sz w:val="24"/>
          <w:szCs w:val="24"/>
        </w:rPr>
        <w:t>immunocompromised</w:t>
      </w:r>
      <w:proofErr w:type="spellEnd"/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Positive serology to hepatitis B (</w:t>
      </w:r>
      <w:proofErr w:type="spellStart"/>
      <w:r w:rsidRPr="002C7612">
        <w:rPr>
          <w:rFonts w:ascii="Arial" w:hAnsi="Arial" w:cs="Arial"/>
          <w:sz w:val="24"/>
          <w:szCs w:val="24"/>
        </w:rPr>
        <w:t>HBsAg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or anti-</w:t>
      </w:r>
      <w:proofErr w:type="spellStart"/>
      <w:r w:rsidRPr="002C7612">
        <w:rPr>
          <w:rFonts w:ascii="Arial" w:hAnsi="Arial" w:cs="Arial"/>
          <w:sz w:val="24"/>
          <w:szCs w:val="24"/>
        </w:rPr>
        <w:t>HBc</w:t>
      </w:r>
      <w:proofErr w:type="spellEnd"/>
      <w:r w:rsidRPr="002C7612">
        <w:rPr>
          <w:rFonts w:ascii="Arial" w:hAnsi="Arial" w:cs="Arial"/>
          <w:sz w:val="24"/>
          <w:szCs w:val="24"/>
        </w:rPr>
        <w:t>) or hepatitis C (HCV-</w:t>
      </w:r>
      <w:proofErr w:type="spellStart"/>
      <w:r w:rsidRPr="002C7612">
        <w:rPr>
          <w:rFonts w:ascii="Arial" w:hAnsi="Arial" w:cs="Arial"/>
          <w:sz w:val="24"/>
          <w:szCs w:val="24"/>
        </w:rPr>
        <w:t>Ab</w:t>
      </w:r>
      <w:proofErr w:type="spellEnd"/>
      <w:r w:rsidRPr="002C7612">
        <w:rPr>
          <w:rFonts w:ascii="Arial" w:hAnsi="Arial" w:cs="Arial"/>
          <w:sz w:val="24"/>
          <w:szCs w:val="24"/>
        </w:rPr>
        <w:t>) at screening or baseline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History of </w:t>
      </w:r>
      <w:proofErr w:type="spellStart"/>
      <w:r w:rsidRPr="002C7612">
        <w:rPr>
          <w:rFonts w:ascii="Arial" w:hAnsi="Arial" w:cs="Arial"/>
          <w:sz w:val="24"/>
          <w:szCs w:val="24"/>
        </w:rPr>
        <w:t>lymphoproliferative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disease or any known malignancy or history of malignancy of any organ system (except for basal cell carcinoma or actinic </w:t>
      </w:r>
      <w:proofErr w:type="spellStart"/>
      <w:r w:rsidRPr="002C7612">
        <w:rPr>
          <w:rFonts w:ascii="Arial" w:hAnsi="Arial" w:cs="Arial"/>
          <w:sz w:val="24"/>
          <w:szCs w:val="24"/>
        </w:rPr>
        <w:t>keratosis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that have been treated with no evidence of recur</w:t>
      </w:r>
      <w:r w:rsidR="009259CB">
        <w:rPr>
          <w:rFonts w:ascii="Arial" w:hAnsi="Arial" w:cs="Arial"/>
          <w:sz w:val="24"/>
          <w:szCs w:val="24"/>
        </w:rPr>
        <w:t xml:space="preserve">rence in the past 3 months, </w:t>
      </w:r>
      <w:r w:rsidRPr="002C7612">
        <w:rPr>
          <w:rFonts w:ascii="Arial" w:hAnsi="Arial" w:cs="Arial"/>
          <w:sz w:val="24"/>
          <w:szCs w:val="24"/>
        </w:rPr>
        <w:t xml:space="preserve">except for carcinoma </w:t>
      </w:r>
      <w:r w:rsidRPr="001C158D">
        <w:rPr>
          <w:rFonts w:ascii="Arial" w:hAnsi="Arial" w:cs="Arial"/>
          <w:i/>
          <w:sz w:val="24"/>
          <w:szCs w:val="24"/>
        </w:rPr>
        <w:t>in situ</w:t>
      </w:r>
      <w:r w:rsidRPr="002C7612">
        <w:rPr>
          <w:rFonts w:ascii="Arial" w:hAnsi="Arial" w:cs="Arial"/>
          <w:sz w:val="24"/>
          <w:szCs w:val="24"/>
        </w:rPr>
        <w:t xml:space="preserve"> of the cervix or non-invasive malignant colon polyps that have been removed with no evidence of recurrence), treated or untreated, within the past 5 years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Any medical or psychiatric condition which, in the Investigator’s opinion, would preclude the participant from adhering to the protocol or completing the study per protocol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History or evidence of ongoing alcohol or drug abuse, within the last six months before baseline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Plans for administration of live vaccines during the study period or vaccination within 6 weeks prior to baseline</w:t>
      </w:r>
    </w:p>
    <w:p w:rsidR="00B44A84" w:rsidRPr="002C7612" w:rsidRDefault="00B44A84" w:rsidP="00B44A84">
      <w:pPr>
        <w:pStyle w:val="Lijstaline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Patient is under judicial protection (France only)</w:t>
      </w:r>
    </w:p>
    <w:p w:rsidR="00B44A84" w:rsidRPr="002C7612" w:rsidRDefault="00B44A84" w:rsidP="00B44A84">
      <w:pPr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br w:type="page"/>
      </w:r>
    </w:p>
    <w:p w:rsidR="00D5154A" w:rsidRPr="002C7612" w:rsidRDefault="00D5154A" w:rsidP="00B44A84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2C7612">
        <w:rPr>
          <w:rFonts w:ascii="Arial" w:hAnsi="Arial" w:cs="Arial"/>
          <w:b/>
          <w:sz w:val="24"/>
          <w:szCs w:val="24"/>
        </w:rPr>
        <w:lastRenderedPageBreak/>
        <w:t>EULAR response criteria</w:t>
      </w:r>
    </w:p>
    <w:p w:rsidR="00D5154A" w:rsidRPr="002C7612" w:rsidRDefault="00D5154A" w:rsidP="00B44A84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A moderate response was defined according to the EULAR response criteria as a disease activity score 28-joint count (DAS28) at Week 24 of &gt;3.2 and ≤5.1, and an improvement from baseline &gt;0.6 or a DAS28 at Week 24 &gt;5.1, and an improvement from baseline &gt;1.2. </w:t>
      </w: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rPr>
          <w:rFonts w:ascii="Arial" w:hAnsi="Arial" w:cs="Arial"/>
          <w:b/>
          <w:sz w:val="24"/>
          <w:szCs w:val="24"/>
        </w:rPr>
      </w:pPr>
      <w:r w:rsidRPr="002C7612">
        <w:rPr>
          <w:rFonts w:ascii="Arial" w:hAnsi="Arial" w:cs="Arial"/>
          <w:b/>
          <w:sz w:val="24"/>
          <w:szCs w:val="24"/>
        </w:rPr>
        <w:br w:type="page"/>
      </w:r>
    </w:p>
    <w:p w:rsidR="00B44A84" w:rsidRPr="00357266" w:rsidRDefault="00B44A84" w:rsidP="00B44A84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357266">
        <w:rPr>
          <w:rFonts w:ascii="Arial" w:hAnsi="Arial" w:cs="Arial"/>
          <w:b/>
          <w:sz w:val="24"/>
          <w:szCs w:val="24"/>
        </w:rPr>
        <w:lastRenderedPageBreak/>
        <w:t>Figure S1. Study design</w:t>
      </w:r>
    </w:p>
    <w:p w:rsidR="00B44A84" w:rsidRPr="002C7612" w:rsidRDefault="00997FFD" w:rsidP="00997FFD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611352" cy="2374710"/>
            <wp:effectExtent l="0" t="0" r="8890" b="6985"/>
            <wp:docPr id="1" name="Picture 1" descr="\\PHINHY-S3026.ap.novartis.net\CHANDDI2$\data\Divya\LIVE WORK\Sandoz\Manuscripts\GP15-EQUIRA\Submission fil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HINHY-S3026.ap.novartis.net\CHANDDI2$\data\Divya\LIVE WORK\Sandoz\Manuscripts\GP15-EQUIRA\Submission files\Figure S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2" cy="23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Patients were </w:t>
      </w:r>
      <w:proofErr w:type="spellStart"/>
      <w:r w:rsidRPr="002C7612">
        <w:rPr>
          <w:rFonts w:ascii="Arial" w:hAnsi="Arial" w:cs="Arial"/>
          <w:sz w:val="24"/>
          <w:szCs w:val="24"/>
        </w:rPr>
        <w:t>randomised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to self-administer 50 mg GP2015 or ETN subcutaneously, once weekly.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All patients continued to receive concomitant </w:t>
      </w:r>
      <w:proofErr w:type="spellStart"/>
      <w:r w:rsidRPr="002C7612">
        <w:rPr>
          <w:rFonts w:ascii="Arial" w:hAnsi="Arial" w:cs="Arial"/>
          <w:sz w:val="24"/>
          <w:szCs w:val="24"/>
        </w:rPr>
        <w:t>methotrexate</w:t>
      </w:r>
      <w:proofErr w:type="spellEnd"/>
      <w:r w:rsidRPr="002C7612">
        <w:rPr>
          <w:rFonts w:ascii="Arial" w:hAnsi="Arial" w:cs="Arial"/>
          <w:sz w:val="24"/>
          <w:szCs w:val="24"/>
        </w:rPr>
        <w:t xml:space="preserve"> at a stable dose (10–25 mg/week), and folic acid (≥ 5 mg/week) until end of study. </w:t>
      </w:r>
    </w:p>
    <w:p w:rsidR="00B44A84" w:rsidRPr="002C7612" w:rsidRDefault="00793439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A moderate response was defined according to the EULAR response criteria as a disease activity score 28-joint count (DAS28)</w:t>
      </w:r>
      <w:r w:rsidR="00B44A84" w:rsidRPr="002C7612">
        <w:rPr>
          <w:rFonts w:ascii="Arial" w:hAnsi="Arial" w:cs="Arial"/>
          <w:sz w:val="24"/>
          <w:szCs w:val="24"/>
        </w:rPr>
        <w:t xml:space="preserve"> &gt;3.2 and ≤5.1 at Week 24 and an improvement from baseline &gt;0.6, or DAS28&gt;5.1 at Week 24 and an improvement from baseline &gt;1.2.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ETN, reference </w:t>
      </w:r>
      <w:proofErr w:type="spellStart"/>
      <w:r w:rsidRPr="002C7612">
        <w:rPr>
          <w:rFonts w:ascii="Arial" w:hAnsi="Arial" w:cs="Arial"/>
          <w:sz w:val="24"/>
          <w:szCs w:val="24"/>
        </w:rPr>
        <w:t>etanercept</w:t>
      </w:r>
      <w:proofErr w:type="spellEnd"/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357266" w:rsidRDefault="00B44A84" w:rsidP="00B44A8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B44A84" w:rsidRPr="00357266" w:rsidRDefault="00B44A84" w:rsidP="00B44A8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357266">
        <w:rPr>
          <w:rFonts w:ascii="Arial" w:hAnsi="Arial" w:cs="Arial"/>
          <w:b/>
          <w:sz w:val="24"/>
          <w:szCs w:val="24"/>
        </w:rPr>
        <w:lastRenderedPageBreak/>
        <w:t>Figure S2. Change from baseline in HAQ-DI scores over 24 weeks (TP1 per-protocol set)</w:t>
      </w:r>
    </w:p>
    <w:p w:rsidR="00B44A84" w:rsidRPr="002C7612" w:rsidRDefault="00357266" w:rsidP="00357266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6219895" cy="2987749"/>
            <wp:effectExtent l="0" t="0" r="0" b="3175"/>
            <wp:docPr id="3" name="Picture 3" descr="\\PHINHY-S3026.ap.novartis.net\CHANDDI2$\data\Divya\LIVE WORK\Sandoz\Manuscripts\GP15-EQUIRA\Submission fil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HINHY-S3026.ap.novartis.net\CHANDDI2$\data\Divya\LIVE WORK\Sandoz\Manuscripts\GP15-EQUIRA\Submission files\Figure S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94" cy="29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FD" w:rsidRDefault="00997FFD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The Per-protocol set consists of all patients completing the study until Week 24 without major protocol deviations. Error bar </w:t>
      </w:r>
      <w:r w:rsidR="00793439" w:rsidRPr="002C7612">
        <w:rPr>
          <w:rFonts w:ascii="Arial" w:hAnsi="Arial" w:cs="Arial"/>
          <w:sz w:val="24"/>
          <w:szCs w:val="24"/>
        </w:rPr>
        <w:t>represents</w:t>
      </w:r>
      <w:r w:rsidRPr="002C7612">
        <w:rPr>
          <w:rFonts w:ascii="Arial" w:hAnsi="Arial" w:cs="Arial"/>
          <w:sz w:val="24"/>
          <w:szCs w:val="24"/>
        </w:rPr>
        <w:t xml:space="preserve"> the standard </w:t>
      </w:r>
      <w:r w:rsidR="00793439" w:rsidRPr="002C7612">
        <w:rPr>
          <w:rFonts w:ascii="Arial" w:hAnsi="Arial" w:cs="Arial"/>
          <w:sz w:val="24"/>
          <w:szCs w:val="24"/>
        </w:rPr>
        <w:t>error</w:t>
      </w:r>
      <w:r w:rsidRPr="002C7612">
        <w:rPr>
          <w:rFonts w:ascii="Arial" w:hAnsi="Arial" w:cs="Arial"/>
          <w:sz w:val="24"/>
          <w:szCs w:val="24"/>
        </w:rPr>
        <w:t>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Per protocol set: GP2015 (n=168), ETN (n=155).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ETN, reference </w:t>
      </w:r>
      <w:proofErr w:type="spellStart"/>
      <w:r w:rsidRPr="002C7612">
        <w:rPr>
          <w:rFonts w:ascii="Arial" w:hAnsi="Arial" w:cs="Arial"/>
          <w:sz w:val="24"/>
          <w:szCs w:val="24"/>
        </w:rPr>
        <w:t>etanercept</w:t>
      </w:r>
      <w:proofErr w:type="spellEnd"/>
      <w:r w:rsidRPr="002C7612">
        <w:rPr>
          <w:rFonts w:ascii="Arial" w:hAnsi="Arial" w:cs="Arial"/>
          <w:sz w:val="24"/>
          <w:szCs w:val="24"/>
        </w:rPr>
        <w:t>; HAQ-DI, Health assessment questi</w:t>
      </w:r>
      <w:r w:rsidR="009259CB">
        <w:rPr>
          <w:rFonts w:ascii="Arial" w:hAnsi="Arial" w:cs="Arial"/>
          <w:sz w:val="24"/>
          <w:szCs w:val="24"/>
        </w:rPr>
        <w:t>onnaire disability index; TP1, T</w:t>
      </w:r>
      <w:r w:rsidRPr="002C7612">
        <w:rPr>
          <w:rFonts w:ascii="Arial" w:hAnsi="Arial" w:cs="Arial"/>
          <w:sz w:val="24"/>
          <w:szCs w:val="24"/>
        </w:rPr>
        <w:t xml:space="preserve">reatment </w:t>
      </w:r>
      <w:r w:rsidR="009259CB">
        <w:rPr>
          <w:rFonts w:ascii="Arial" w:hAnsi="Arial" w:cs="Arial"/>
          <w:sz w:val="24"/>
          <w:szCs w:val="24"/>
        </w:rPr>
        <w:t>P</w:t>
      </w:r>
      <w:r w:rsidRPr="002C7612">
        <w:rPr>
          <w:rFonts w:ascii="Arial" w:hAnsi="Arial" w:cs="Arial"/>
          <w:sz w:val="24"/>
          <w:szCs w:val="24"/>
        </w:rPr>
        <w:t>eriod 1.</w:t>
      </w:r>
    </w:p>
    <w:p w:rsidR="00B44A84" w:rsidRPr="002C7612" w:rsidRDefault="00B44A84" w:rsidP="00B44A84">
      <w:pPr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br w:type="page"/>
      </w:r>
    </w:p>
    <w:p w:rsidR="00B44A84" w:rsidRPr="00357266" w:rsidRDefault="00B44A84" w:rsidP="00B44A8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357266">
        <w:rPr>
          <w:rFonts w:ascii="Arial" w:hAnsi="Arial" w:cs="Arial"/>
          <w:b/>
          <w:sz w:val="24"/>
          <w:szCs w:val="24"/>
        </w:rPr>
        <w:lastRenderedPageBreak/>
        <w:t>Figure S3. Change from baseline in FACIT-fatigue scores over 24 weeks (TP1 per-protocol set)</w:t>
      </w:r>
    </w:p>
    <w:p w:rsidR="00B44A84" w:rsidRPr="002C7612" w:rsidRDefault="00B44A84" w:rsidP="00B44A8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B44A84" w:rsidRPr="002C7612" w:rsidRDefault="00997FFD" w:rsidP="00997FFD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736962" cy="2753832"/>
            <wp:effectExtent l="0" t="0" r="0" b="8890"/>
            <wp:docPr id="5" name="Picture 5" descr="\\PHINHY-S3026.ap.novartis.net\CHANDDI2$\data\Divya\LIVE WORK\Sandoz\Manuscripts\GP15-EQUIRA\Submission file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HINHY-S3026.ap.novartis.net\CHANDDI2$\data\Divya\LIVE WORK\Sandoz\Manuscripts\GP15-EQUIRA\Submission files\Figure S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01" cy="27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FD" w:rsidRDefault="00997FFD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The per-protocol set consists of all patients completing the study until Week 24 without major protocol deviations. Error bar </w:t>
      </w:r>
      <w:r w:rsidR="00793439" w:rsidRPr="002C7612">
        <w:rPr>
          <w:rFonts w:ascii="Arial" w:hAnsi="Arial" w:cs="Arial"/>
          <w:sz w:val="24"/>
          <w:szCs w:val="24"/>
        </w:rPr>
        <w:t>represents the standard error.</w:t>
      </w:r>
      <w:r w:rsidR="00293A16">
        <w:rPr>
          <w:rFonts w:ascii="Arial" w:hAnsi="Arial" w:cs="Arial"/>
          <w:sz w:val="24"/>
          <w:szCs w:val="24"/>
        </w:rPr>
        <w:t xml:space="preserve"> High score indicate</w:t>
      </w:r>
      <w:r w:rsidR="00361A29">
        <w:rPr>
          <w:rFonts w:ascii="Arial" w:hAnsi="Arial" w:cs="Arial"/>
          <w:sz w:val="24"/>
          <w:szCs w:val="24"/>
        </w:rPr>
        <w:t>s</w:t>
      </w:r>
      <w:r w:rsidR="00293A16">
        <w:rPr>
          <w:rFonts w:ascii="Arial" w:hAnsi="Arial" w:cs="Arial"/>
          <w:sz w:val="24"/>
          <w:szCs w:val="24"/>
        </w:rPr>
        <w:t xml:space="preserve"> less fatigue.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Per protocol set: GP2015 (n=168), ETN (n=155).</w:t>
      </w:r>
    </w:p>
    <w:p w:rsidR="00B44A84" w:rsidRPr="002C7612" w:rsidRDefault="00B44A84" w:rsidP="00B44A84">
      <w:pPr>
        <w:spacing w:after="120"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 xml:space="preserve">ETN, reference </w:t>
      </w:r>
      <w:proofErr w:type="spellStart"/>
      <w:r w:rsidRPr="002C7612">
        <w:rPr>
          <w:rFonts w:ascii="Arial" w:hAnsi="Arial" w:cs="Arial"/>
          <w:sz w:val="24"/>
          <w:szCs w:val="24"/>
        </w:rPr>
        <w:t>etanercept</w:t>
      </w:r>
      <w:proofErr w:type="spellEnd"/>
      <w:r w:rsidRPr="002C7612">
        <w:rPr>
          <w:rFonts w:ascii="Arial" w:hAnsi="Arial" w:cs="Arial"/>
          <w:sz w:val="24"/>
          <w:szCs w:val="24"/>
        </w:rPr>
        <w:t>; FACIT, Functional Assessment of</w:t>
      </w:r>
      <w:r w:rsidR="009259CB">
        <w:rPr>
          <w:rFonts w:ascii="Arial" w:hAnsi="Arial" w:cs="Arial"/>
          <w:sz w:val="24"/>
          <w:szCs w:val="24"/>
        </w:rPr>
        <w:t xml:space="preserve"> Chronic Illness Therapy; TP1, T</w:t>
      </w:r>
      <w:r w:rsidRPr="002C7612">
        <w:rPr>
          <w:rFonts w:ascii="Arial" w:hAnsi="Arial" w:cs="Arial"/>
          <w:sz w:val="24"/>
          <w:szCs w:val="24"/>
        </w:rPr>
        <w:t xml:space="preserve">reatment </w:t>
      </w:r>
      <w:r w:rsidR="009259CB">
        <w:rPr>
          <w:rFonts w:ascii="Arial" w:hAnsi="Arial" w:cs="Arial"/>
          <w:sz w:val="24"/>
          <w:szCs w:val="24"/>
        </w:rPr>
        <w:t>P</w:t>
      </w:r>
      <w:r w:rsidRPr="002C7612">
        <w:rPr>
          <w:rFonts w:ascii="Arial" w:hAnsi="Arial" w:cs="Arial"/>
          <w:sz w:val="24"/>
          <w:szCs w:val="24"/>
        </w:rPr>
        <w:t>eriod 1.</w:t>
      </w:r>
    </w:p>
    <w:p w:rsidR="00B44A84" w:rsidRPr="002C7612" w:rsidRDefault="00B44A84" w:rsidP="00B44A84">
      <w:pPr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br w:type="page"/>
      </w:r>
    </w:p>
    <w:p w:rsidR="002C13B1" w:rsidRPr="00357266" w:rsidRDefault="002C13B1" w:rsidP="002C13B1">
      <w:pPr>
        <w:rPr>
          <w:rFonts w:ascii="Arial" w:hAnsi="Arial" w:cs="Arial"/>
          <w:b/>
          <w:sz w:val="24"/>
          <w:szCs w:val="24"/>
        </w:rPr>
      </w:pPr>
      <w:r w:rsidRPr="00357266">
        <w:rPr>
          <w:rFonts w:ascii="Arial" w:hAnsi="Arial" w:cs="Arial"/>
          <w:b/>
          <w:sz w:val="24"/>
          <w:szCs w:val="24"/>
        </w:rPr>
        <w:lastRenderedPageBreak/>
        <w:t>Figure S4. Incidence of anti-drug antibodies over 24 weeks (TP1, safety set)</w:t>
      </w:r>
    </w:p>
    <w:p w:rsidR="002C13B1" w:rsidRPr="002C7612" w:rsidRDefault="00357266" w:rsidP="003572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6142484" cy="2860158"/>
            <wp:effectExtent l="0" t="0" r="0" b="0"/>
            <wp:docPr id="4" name="Picture 4" descr="\\PHINHY-S3026.ap.novartis.net\CHANDDI2$\data\Divya\LIVE WORK\Sandoz\Manuscripts\GP15-EQUIRA\Submission fil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HINHY-S3026.ap.novartis.net\CHANDDI2$\data\Divya\LIVE WORK\Sandoz\Manuscripts\GP15-EQUIRA\Submission files\Figure S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59" cy="28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FD" w:rsidRDefault="00997FFD" w:rsidP="00B44A84">
      <w:pPr>
        <w:spacing w:line="480" w:lineRule="auto"/>
        <w:rPr>
          <w:rFonts w:ascii="Arial" w:hAnsi="Arial" w:cs="Arial"/>
          <w:sz w:val="24"/>
          <w:szCs w:val="24"/>
        </w:rPr>
      </w:pPr>
    </w:p>
    <w:p w:rsidR="00B44A84" w:rsidRPr="002C7612" w:rsidRDefault="00B44A84" w:rsidP="00B44A84">
      <w:pPr>
        <w:spacing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The safety set includes all patients who received at least one dose of study treatment during the treatment period</w:t>
      </w:r>
    </w:p>
    <w:p w:rsidR="00B44A84" w:rsidRPr="002C7612" w:rsidRDefault="00B44A84" w:rsidP="00B44A84">
      <w:pPr>
        <w:spacing w:line="48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t>ADA, anti-drug antibodies; E</w:t>
      </w:r>
      <w:r w:rsidR="003E4A4A">
        <w:rPr>
          <w:rFonts w:ascii="Arial" w:hAnsi="Arial" w:cs="Arial"/>
          <w:sz w:val="24"/>
          <w:szCs w:val="24"/>
        </w:rPr>
        <w:t xml:space="preserve">TN, reference </w:t>
      </w:r>
      <w:proofErr w:type="spellStart"/>
      <w:r w:rsidR="003E4A4A">
        <w:rPr>
          <w:rFonts w:ascii="Arial" w:hAnsi="Arial" w:cs="Arial"/>
          <w:sz w:val="24"/>
          <w:szCs w:val="24"/>
        </w:rPr>
        <w:t>etanercept</w:t>
      </w:r>
      <w:proofErr w:type="spellEnd"/>
      <w:r w:rsidR="003E4A4A">
        <w:rPr>
          <w:rFonts w:ascii="Arial" w:hAnsi="Arial" w:cs="Arial"/>
          <w:sz w:val="24"/>
          <w:szCs w:val="24"/>
        </w:rPr>
        <w:t>; TP1, T</w:t>
      </w:r>
      <w:r w:rsidRPr="002C7612">
        <w:rPr>
          <w:rFonts w:ascii="Arial" w:hAnsi="Arial" w:cs="Arial"/>
          <w:sz w:val="24"/>
          <w:szCs w:val="24"/>
        </w:rPr>
        <w:t xml:space="preserve">reatment </w:t>
      </w:r>
      <w:r w:rsidR="003E4A4A">
        <w:rPr>
          <w:rFonts w:ascii="Arial" w:hAnsi="Arial" w:cs="Arial"/>
          <w:sz w:val="24"/>
          <w:szCs w:val="24"/>
        </w:rPr>
        <w:t>P</w:t>
      </w:r>
      <w:r w:rsidRPr="002C7612">
        <w:rPr>
          <w:rFonts w:ascii="Arial" w:hAnsi="Arial" w:cs="Arial"/>
          <w:sz w:val="24"/>
          <w:szCs w:val="24"/>
        </w:rPr>
        <w:t>eriod 1</w:t>
      </w:r>
      <w:r w:rsidRPr="002C7612">
        <w:rPr>
          <w:rFonts w:ascii="Arial" w:hAnsi="Arial" w:cs="Arial"/>
          <w:sz w:val="24"/>
          <w:szCs w:val="24"/>
        </w:rPr>
        <w:br w:type="page"/>
      </w:r>
    </w:p>
    <w:p w:rsidR="006A279D" w:rsidRDefault="006A279D" w:rsidP="006A27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Table S</w:t>
      </w:r>
      <w:r w:rsidR="00E6201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 w:rsidR="00CE1CF8">
        <w:rPr>
          <w:rFonts w:ascii="Arial" w:hAnsi="Arial" w:cs="Arial"/>
          <w:sz w:val="24"/>
          <w:szCs w:val="24"/>
        </w:rPr>
        <w:t>DAS28-CRP</w:t>
      </w:r>
      <w:r w:rsidRPr="00B91918">
        <w:rPr>
          <w:rFonts w:ascii="Arial" w:hAnsi="Arial" w:cs="Arial"/>
          <w:sz w:val="24"/>
          <w:szCs w:val="24"/>
        </w:rPr>
        <w:t xml:space="preserve"> change from baseline at Week 24 by subgroups (TP1 per-protocol set)</w:t>
      </w:r>
    </w:p>
    <w:tbl>
      <w:tblPr>
        <w:tblStyle w:val="Tabelraster"/>
        <w:tblW w:w="8914" w:type="dxa"/>
        <w:tblLook w:val="04A0"/>
      </w:tblPr>
      <w:tblGrid>
        <w:gridCol w:w="4263"/>
        <w:gridCol w:w="2482"/>
        <w:gridCol w:w="2169"/>
      </w:tblGrid>
      <w:tr w:rsidR="006A279D" w:rsidRPr="000C1ED7" w:rsidTr="00280752">
        <w:trPr>
          <w:trHeight w:val="581"/>
        </w:trPr>
        <w:tc>
          <w:tcPr>
            <w:tcW w:w="0" w:type="auto"/>
            <w:vMerge w:val="restart"/>
          </w:tcPr>
          <w:p w:rsidR="006A279D" w:rsidRPr="000C1ED7" w:rsidRDefault="006A279D" w:rsidP="0028075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Subgro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>ups by prior treatment</w:t>
            </w:r>
          </w:p>
        </w:tc>
        <w:tc>
          <w:tcPr>
            <w:tcW w:w="2482" w:type="dxa"/>
          </w:tcPr>
          <w:p w:rsidR="006A279D" w:rsidRPr="000C1ED7" w:rsidRDefault="006A279D" w:rsidP="002807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1ED7">
              <w:rPr>
                <w:rFonts w:ascii="Arial" w:hAnsi="Arial" w:cs="Arial"/>
                <w:b/>
                <w:sz w:val="24"/>
                <w:szCs w:val="24"/>
              </w:rPr>
              <w:t>GP2015 (N=168)</w:t>
            </w:r>
          </w:p>
        </w:tc>
        <w:tc>
          <w:tcPr>
            <w:tcW w:w="2169" w:type="dxa"/>
          </w:tcPr>
          <w:p w:rsidR="006A279D" w:rsidRPr="000C1ED7" w:rsidRDefault="006A279D" w:rsidP="002807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ETN (N</w:t>
            </w:r>
            <w:r w:rsidRPr="000C1ED7">
              <w:rPr>
                <w:rFonts w:ascii="Arial" w:hAnsi="Arial" w:cs="Arial"/>
                <w:b/>
                <w:sz w:val="24"/>
                <w:szCs w:val="24"/>
              </w:rPr>
              <w:t>=155)</w:t>
            </w:r>
          </w:p>
        </w:tc>
      </w:tr>
      <w:tr w:rsidR="006A279D" w:rsidRPr="000C1ED7" w:rsidTr="00280752">
        <w:trPr>
          <w:trHeight w:val="606"/>
        </w:trPr>
        <w:tc>
          <w:tcPr>
            <w:tcW w:w="0" w:type="auto"/>
            <w:vMerge/>
          </w:tcPr>
          <w:p w:rsidR="006A279D" w:rsidRPr="000C1ED7" w:rsidRDefault="006A279D" w:rsidP="0028075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6A279D" w:rsidRPr="000C1ED7" w:rsidRDefault="006A279D" w:rsidP="002807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1ED7">
              <w:rPr>
                <w:rFonts w:ascii="Arial" w:hAnsi="Arial" w:cs="Arial"/>
                <w:b/>
                <w:sz w:val="24"/>
                <w:szCs w:val="24"/>
              </w:rPr>
              <w:t>LS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mean (SE</w:t>
            </w:r>
            <w:r w:rsidRPr="000C1ED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6A279D" w:rsidRPr="000C1ED7" w:rsidTr="00280752">
        <w:trPr>
          <w:trHeight w:val="558"/>
        </w:trPr>
        <w:tc>
          <w:tcPr>
            <w:tcW w:w="0" w:type="auto"/>
            <w:tcBorders>
              <w:bottom w:val="nil"/>
              <w:right w:val="nil"/>
            </w:tcBorders>
          </w:tcPr>
          <w:p w:rsidR="006A279D" w:rsidRPr="000C1ED7" w:rsidRDefault="006A279D" w:rsidP="00280752">
            <w:pPr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 xml:space="preserve">Prior use </w:t>
            </w:r>
            <w:proofErr w:type="spellStart"/>
            <w:r w:rsidRPr="000C1ED7">
              <w:rPr>
                <w:rFonts w:ascii="Arial" w:hAnsi="Arial" w:cs="Arial"/>
                <w:sz w:val="24"/>
                <w:szCs w:val="24"/>
              </w:rPr>
              <w:t>MTX+any</w:t>
            </w:r>
            <w:proofErr w:type="spellEnd"/>
            <w:r w:rsidRPr="000C1ED7">
              <w:rPr>
                <w:rFonts w:ascii="Arial" w:hAnsi="Arial" w:cs="Arial"/>
                <w:sz w:val="24"/>
                <w:szCs w:val="24"/>
              </w:rPr>
              <w:t xml:space="preserve"> anti-TNF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6A279D" w:rsidRPr="000C1ED7" w:rsidRDefault="006A279D" w:rsidP="00CE1C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CE1CF8">
              <w:rPr>
                <w:rFonts w:ascii="Arial" w:hAnsi="Arial" w:cs="Arial"/>
                <w:sz w:val="24"/>
                <w:szCs w:val="24"/>
              </w:rPr>
              <w:t>3.06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(0.2</w:t>
            </w:r>
            <w:r w:rsidR="00CE1CF8">
              <w:rPr>
                <w:rFonts w:ascii="Arial" w:hAnsi="Arial" w:cs="Arial"/>
                <w:sz w:val="24"/>
                <w:szCs w:val="24"/>
              </w:rPr>
              <w:t>4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left w:val="nil"/>
              <w:bottom w:val="nil"/>
            </w:tcBorders>
          </w:tcPr>
          <w:p w:rsidR="006A279D" w:rsidRPr="000C1ED7" w:rsidRDefault="006A279D" w:rsidP="003764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2.77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</w:t>
            </w:r>
            <w:r w:rsidR="003764A9">
              <w:rPr>
                <w:rFonts w:ascii="Arial" w:hAnsi="Arial" w:cs="Arial"/>
                <w:sz w:val="24"/>
                <w:szCs w:val="24"/>
              </w:rPr>
              <w:t>27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6A279D" w:rsidRPr="000C1ED7" w:rsidTr="00280752">
        <w:trPr>
          <w:trHeight w:val="581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279D" w:rsidRPr="000C1ED7" w:rsidRDefault="006A279D" w:rsidP="00280752">
            <w:pPr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 xml:space="preserve">Prior use </w:t>
            </w:r>
            <w:proofErr w:type="spellStart"/>
            <w:r w:rsidRPr="000C1ED7">
              <w:rPr>
                <w:rFonts w:ascii="Arial" w:hAnsi="Arial" w:cs="Arial"/>
                <w:sz w:val="24"/>
                <w:szCs w:val="24"/>
              </w:rPr>
              <w:t>MTX+any</w:t>
            </w:r>
            <w:proofErr w:type="spellEnd"/>
            <w:r w:rsidRPr="000C1ED7">
              <w:rPr>
                <w:rFonts w:ascii="Arial" w:hAnsi="Arial" w:cs="Arial"/>
                <w:sz w:val="24"/>
                <w:szCs w:val="24"/>
              </w:rPr>
              <w:t xml:space="preserve"> biologic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A279D" w:rsidRPr="000C1ED7" w:rsidRDefault="006A279D" w:rsidP="002807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3.12 (0.35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279D" w:rsidRPr="000C1ED7" w:rsidRDefault="006A279D" w:rsidP="002807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2.98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</w:t>
            </w:r>
            <w:r w:rsidR="003764A9">
              <w:rPr>
                <w:rFonts w:ascii="Arial" w:hAnsi="Arial" w:cs="Arial"/>
                <w:sz w:val="24"/>
                <w:szCs w:val="24"/>
              </w:rPr>
              <w:t>34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6A279D" w:rsidRPr="000C1ED7" w:rsidTr="00280752">
        <w:trPr>
          <w:trHeight w:val="581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279D" w:rsidRPr="000C1ED7" w:rsidRDefault="006A279D" w:rsidP="00280752">
            <w:pPr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 xml:space="preserve">Prior use </w:t>
            </w:r>
            <w:proofErr w:type="spellStart"/>
            <w:r w:rsidRPr="000C1ED7">
              <w:rPr>
                <w:rFonts w:ascii="Arial" w:hAnsi="Arial" w:cs="Arial"/>
                <w:sz w:val="24"/>
                <w:szCs w:val="24"/>
              </w:rPr>
              <w:t>MTX+any</w:t>
            </w:r>
            <w:proofErr w:type="spellEnd"/>
            <w:r w:rsidRPr="000C1ED7">
              <w:rPr>
                <w:rFonts w:ascii="Arial" w:hAnsi="Arial" w:cs="Arial"/>
                <w:sz w:val="24"/>
                <w:szCs w:val="24"/>
              </w:rPr>
              <w:t xml:space="preserve"> DMARDs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A279D" w:rsidRPr="000C1ED7" w:rsidRDefault="006A279D" w:rsidP="003764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2.67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</w:t>
            </w:r>
            <w:r w:rsidR="003764A9">
              <w:rPr>
                <w:rFonts w:ascii="Arial" w:hAnsi="Arial" w:cs="Arial"/>
                <w:sz w:val="24"/>
                <w:szCs w:val="24"/>
              </w:rPr>
              <w:t>18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279D" w:rsidRPr="000C1ED7" w:rsidRDefault="006A279D" w:rsidP="003764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−2.</w:t>
            </w:r>
            <w:r w:rsidR="003764A9">
              <w:rPr>
                <w:rFonts w:ascii="Arial" w:hAnsi="Arial" w:cs="Arial"/>
                <w:sz w:val="24"/>
                <w:szCs w:val="24"/>
              </w:rPr>
              <w:t>63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</w:t>
            </w:r>
            <w:r w:rsidR="003764A9">
              <w:rPr>
                <w:rFonts w:ascii="Arial" w:hAnsi="Arial" w:cs="Arial"/>
                <w:sz w:val="24"/>
                <w:szCs w:val="24"/>
              </w:rPr>
              <w:t>19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6A279D" w:rsidRPr="000C1ED7" w:rsidTr="00280752">
        <w:trPr>
          <w:trHeight w:val="5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A279D" w:rsidRPr="000C1ED7" w:rsidRDefault="006A279D" w:rsidP="00280752">
            <w:pPr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Prior use MTX only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279D" w:rsidRPr="000C1ED7" w:rsidRDefault="006A279D" w:rsidP="003764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2.89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(0.2</w:t>
            </w:r>
            <w:r w:rsidR="003764A9">
              <w:rPr>
                <w:rFonts w:ascii="Arial" w:hAnsi="Arial" w:cs="Arial"/>
                <w:sz w:val="24"/>
                <w:szCs w:val="24"/>
              </w:rPr>
              <w:t>4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279D" w:rsidRPr="000C1ED7" w:rsidRDefault="006A279D" w:rsidP="003764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1ED7">
              <w:rPr>
                <w:rFonts w:ascii="Arial" w:hAnsi="Arial" w:cs="Arial"/>
                <w:sz w:val="24"/>
                <w:szCs w:val="24"/>
              </w:rPr>
              <w:t>−</w:t>
            </w:r>
            <w:r w:rsidR="003764A9">
              <w:rPr>
                <w:rFonts w:ascii="Arial" w:hAnsi="Arial" w:cs="Arial"/>
                <w:sz w:val="24"/>
                <w:szCs w:val="24"/>
              </w:rPr>
              <w:t>2.87</w:t>
            </w:r>
            <w:r w:rsidRPr="000C1ED7">
              <w:rPr>
                <w:rFonts w:ascii="Arial" w:hAnsi="Arial" w:cs="Arial"/>
                <w:sz w:val="24"/>
                <w:szCs w:val="24"/>
              </w:rPr>
              <w:t xml:space="preserve"> (0.2</w:t>
            </w:r>
            <w:r w:rsidR="003764A9">
              <w:rPr>
                <w:rFonts w:ascii="Arial" w:hAnsi="Arial" w:cs="Arial"/>
                <w:sz w:val="24"/>
                <w:szCs w:val="24"/>
              </w:rPr>
              <w:t>3</w:t>
            </w:r>
            <w:r w:rsidRPr="000C1E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6A279D" w:rsidRDefault="006A279D" w:rsidP="006A279D">
      <w:pPr>
        <w:rPr>
          <w:rFonts w:ascii="Arial" w:hAnsi="Arial" w:cs="Arial"/>
          <w:b/>
          <w:sz w:val="24"/>
          <w:szCs w:val="24"/>
        </w:rPr>
      </w:pPr>
    </w:p>
    <w:p w:rsidR="006A279D" w:rsidRDefault="006A279D" w:rsidP="006A27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A279D">
        <w:rPr>
          <w:rFonts w:ascii="Arial" w:hAnsi="Arial" w:cs="Arial"/>
          <w:sz w:val="24"/>
          <w:szCs w:val="24"/>
        </w:rPr>
        <w:t xml:space="preserve">A mixed-model </w:t>
      </w:r>
      <w:r>
        <w:rPr>
          <w:rFonts w:ascii="Arial" w:hAnsi="Arial" w:cs="Arial"/>
          <w:sz w:val="24"/>
          <w:szCs w:val="24"/>
        </w:rPr>
        <w:t xml:space="preserve">repeated measures </w:t>
      </w:r>
      <w:r w:rsidR="003764A9">
        <w:rPr>
          <w:rFonts w:ascii="Arial" w:hAnsi="Arial" w:cs="Arial"/>
          <w:sz w:val="24"/>
          <w:szCs w:val="24"/>
        </w:rPr>
        <w:t>analysis performed for DAS28-CRP</w:t>
      </w:r>
      <w:r w:rsidRPr="006A279D">
        <w:rPr>
          <w:rFonts w:ascii="Arial" w:hAnsi="Arial" w:cs="Arial"/>
          <w:sz w:val="24"/>
          <w:szCs w:val="24"/>
        </w:rPr>
        <w:t xml:space="preserve"> change from baseline including treatment, body weight strata, prior systemic therapy, region, time (visits), the interaction between time (visits) and treatment all as categorical v</w:t>
      </w:r>
      <w:r w:rsidR="003764A9">
        <w:rPr>
          <w:rFonts w:ascii="Arial" w:hAnsi="Arial" w:cs="Arial"/>
          <w:sz w:val="24"/>
          <w:szCs w:val="24"/>
        </w:rPr>
        <w:t>ariables, and baseline DAS28-CRP</w:t>
      </w:r>
      <w:r w:rsidRPr="006A279D">
        <w:rPr>
          <w:rFonts w:ascii="Arial" w:hAnsi="Arial" w:cs="Arial"/>
          <w:sz w:val="24"/>
          <w:szCs w:val="24"/>
        </w:rPr>
        <w:t xml:space="preserve"> value as a continuous variable. </w:t>
      </w:r>
      <w:r>
        <w:rPr>
          <w:rFonts w:ascii="Arial" w:hAnsi="Arial" w:cs="Arial"/>
          <w:sz w:val="24"/>
          <w:szCs w:val="24"/>
        </w:rPr>
        <w:t>The per-protocol set consists of all patients completing the study until Week 24 wi</w:t>
      </w:r>
      <w:r w:rsidR="003764A9">
        <w:rPr>
          <w:rFonts w:ascii="Arial" w:hAnsi="Arial" w:cs="Arial"/>
          <w:sz w:val="24"/>
          <w:szCs w:val="24"/>
        </w:rPr>
        <w:t>thout major protocol deviations</w:t>
      </w:r>
    </w:p>
    <w:p w:rsidR="006A279D" w:rsidRDefault="006A279D" w:rsidP="006A279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A279D" w:rsidRPr="006A279D" w:rsidRDefault="006A279D" w:rsidP="006A279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DMARDs, disease modifying anti-rheumatic drugs; ETN, reference </w:t>
      </w:r>
      <w:proofErr w:type="spellStart"/>
      <w:r>
        <w:rPr>
          <w:rFonts w:ascii="Arial" w:hAnsi="Arial" w:cs="Arial"/>
          <w:sz w:val="24"/>
          <w:szCs w:val="24"/>
        </w:rPr>
        <w:t>etanercept</w:t>
      </w:r>
      <w:proofErr w:type="spellEnd"/>
      <w:r>
        <w:rPr>
          <w:rFonts w:ascii="Arial" w:hAnsi="Arial" w:cs="Arial"/>
          <w:sz w:val="24"/>
          <w:szCs w:val="24"/>
        </w:rPr>
        <w:t xml:space="preserve">; LS, least squares; MTX, </w:t>
      </w:r>
      <w:proofErr w:type="spellStart"/>
      <w:r>
        <w:rPr>
          <w:rFonts w:ascii="Arial" w:hAnsi="Arial" w:cs="Arial"/>
          <w:sz w:val="24"/>
          <w:szCs w:val="24"/>
        </w:rPr>
        <w:t>methotrexate</w:t>
      </w:r>
      <w:proofErr w:type="spellEnd"/>
      <w:r>
        <w:rPr>
          <w:rFonts w:ascii="Arial" w:hAnsi="Arial" w:cs="Arial"/>
          <w:sz w:val="24"/>
          <w:szCs w:val="24"/>
        </w:rPr>
        <w:t xml:space="preserve">; SE, standard error; TNF, </w:t>
      </w:r>
      <w:proofErr w:type="spellStart"/>
      <w:r>
        <w:rPr>
          <w:rFonts w:ascii="Arial" w:hAnsi="Arial" w:cs="Arial"/>
          <w:sz w:val="24"/>
          <w:szCs w:val="24"/>
        </w:rPr>
        <w:t>tumour</w:t>
      </w:r>
      <w:proofErr w:type="spellEnd"/>
      <w:r>
        <w:rPr>
          <w:rFonts w:ascii="Arial" w:hAnsi="Arial" w:cs="Arial"/>
          <w:sz w:val="24"/>
          <w:szCs w:val="24"/>
        </w:rPr>
        <w:t xml:space="preserve"> necrosis factor; TP1, treatment period 1</w:t>
      </w:r>
      <w:r w:rsidRPr="006A279D"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6A279D" w:rsidRDefault="006A279D" w:rsidP="006A279D">
      <w:pPr>
        <w:rPr>
          <w:rFonts w:ascii="Arial" w:hAnsi="Arial" w:cs="Arial"/>
          <w:b/>
          <w:sz w:val="24"/>
          <w:szCs w:val="24"/>
        </w:rPr>
      </w:pPr>
    </w:p>
    <w:p w:rsidR="00B91918" w:rsidRDefault="00B91918" w:rsidP="00B91918">
      <w:pPr>
        <w:rPr>
          <w:rFonts w:ascii="Arial" w:hAnsi="Arial" w:cs="Arial"/>
          <w:b/>
          <w:sz w:val="24"/>
          <w:szCs w:val="24"/>
        </w:rPr>
      </w:pPr>
    </w:p>
    <w:p w:rsidR="00B91918" w:rsidRDefault="00B91918" w:rsidP="00B91918">
      <w:pPr>
        <w:rPr>
          <w:rFonts w:ascii="Arial" w:hAnsi="Arial" w:cs="Arial"/>
          <w:sz w:val="24"/>
          <w:szCs w:val="24"/>
        </w:rPr>
      </w:pPr>
    </w:p>
    <w:p w:rsidR="00E62016" w:rsidRDefault="00E62016" w:rsidP="00B91918">
      <w:pPr>
        <w:rPr>
          <w:rFonts w:ascii="Arial" w:hAnsi="Arial" w:cs="Arial"/>
          <w:sz w:val="24"/>
          <w:szCs w:val="24"/>
        </w:rPr>
      </w:pPr>
    </w:p>
    <w:p w:rsidR="00E62016" w:rsidRDefault="00E62016" w:rsidP="00B91918">
      <w:pPr>
        <w:rPr>
          <w:rFonts w:ascii="Arial" w:hAnsi="Arial" w:cs="Arial"/>
          <w:sz w:val="24"/>
          <w:szCs w:val="24"/>
        </w:rPr>
      </w:pPr>
    </w:p>
    <w:p w:rsidR="00E62016" w:rsidRDefault="00E62016" w:rsidP="00B91918">
      <w:pPr>
        <w:rPr>
          <w:rFonts w:ascii="Arial" w:hAnsi="Arial" w:cs="Arial"/>
          <w:sz w:val="24"/>
          <w:szCs w:val="24"/>
        </w:rPr>
      </w:pPr>
    </w:p>
    <w:p w:rsidR="00E62016" w:rsidRDefault="00E62016" w:rsidP="00B91918">
      <w:pPr>
        <w:rPr>
          <w:rFonts w:ascii="Arial" w:hAnsi="Arial" w:cs="Arial"/>
          <w:sz w:val="24"/>
          <w:szCs w:val="24"/>
        </w:rPr>
      </w:pPr>
    </w:p>
    <w:p w:rsidR="00E62016" w:rsidRDefault="00E62016" w:rsidP="00B91918">
      <w:pPr>
        <w:rPr>
          <w:rFonts w:ascii="Arial" w:hAnsi="Arial" w:cs="Arial"/>
          <w:sz w:val="24"/>
          <w:szCs w:val="24"/>
        </w:rPr>
      </w:pPr>
    </w:p>
    <w:p w:rsidR="00E62016" w:rsidRPr="002C7612" w:rsidRDefault="00E62016" w:rsidP="00E62016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lastRenderedPageBreak/>
        <w:t>Table S</w:t>
      </w:r>
      <w:r>
        <w:rPr>
          <w:rFonts w:ascii="Arial" w:hAnsi="Arial" w:cs="Arial"/>
          <w:sz w:val="24"/>
          <w:szCs w:val="24"/>
        </w:rPr>
        <w:t>2</w:t>
      </w:r>
      <w:r w:rsidRPr="002C7612">
        <w:rPr>
          <w:rFonts w:ascii="Arial" w:hAnsi="Arial" w:cs="Arial"/>
          <w:sz w:val="24"/>
          <w:szCs w:val="24"/>
        </w:rPr>
        <w:t>. Treatment-related adverse events up to 24 weeks (TP1 safety set)</w:t>
      </w:r>
    </w:p>
    <w:p w:rsidR="00E62016" w:rsidRPr="002C7612" w:rsidRDefault="00E62016" w:rsidP="00E62016">
      <w:pPr>
        <w:spacing w:after="12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Y="103"/>
        <w:tblW w:w="4991" w:type="pct"/>
        <w:tblLook w:val="0000"/>
      </w:tblPr>
      <w:tblGrid>
        <w:gridCol w:w="3619"/>
        <w:gridCol w:w="2610"/>
        <w:gridCol w:w="3330"/>
      </w:tblGrid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Preferred term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GP2015</w:t>
            </w:r>
          </w:p>
        </w:tc>
        <w:tc>
          <w:tcPr>
            <w:tcW w:w="17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ETN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rPr>
                <w:sz w:val="24"/>
                <w:szCs w:val="24"/>
              </w:rPr>
            </w:pPr>
          </w:p>
        </w:tc>
        <w:tc>
          <w:tcPr>
            <w:tcW w:w="1365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N=186</w:t>
            </w:r>
          </w:p>
        </w:tc>
        <w:tc>
          <w:tcPr>
            <w:tcW w:w="1742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N=190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rPr>
                <w:b/>
                <w:sz w:val="24"/>
                <w:szCs w:val="24"/>
              </w:rPr>
            </w:pPr>
          </w:p>
        </w:tc>
        <w:tc>
          <w:tcPr>
            <w:tcW w:w="136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 (%)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 (%)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 xml:space="preserve">Any treatment-related TEAE 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39 (21.0)</w:t>
            </w:r>
          </w:p>
        </w:tc>
        <w:tc>
          <w:tcPr>
            <w:tcW w:w="1742" w:type="pct"/>
            <w:tcBorders>
              <w:top w:val="single" w:sz="4" w:space="0" w:color="auto"/>
            </w:tcBorders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46 (24.2)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Treatment-related TEAEs with a ≥1% incidence in any group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Injection site reaction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12 (6.5)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35 (18.4)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Alanine</w:t>
            </w:r>
            <w:proofErr w:type="spellEnd"/>
            <w:r w:rsidRPr="002C7612">
              <w:rPr>
                <w:sz w:val="24"/>
                <w:szCs w:val="24"/>
              </w:rPr>
              <w:t xml:space="preserve"> </w:t>
            </w:r>
            <w:proofErr w:type="spellStart"/>
            <w:r w:rsidRPr="002C7612">
              <w:rPr>
                <w:sz w:val="24"/>
                <w:szCs w:val="24"/>
              </w:rPr>
              <w:t>aminotransferase</w:t>
            </w:r>
            <w:proofErr w:type="spellEnd"/>
            <w:r w:rsidRPr="002C7612">
              <w:rPr>
                <w:sz w:val="24"/>
                <w:szCs w:val="24"/>
              </w:rPr>
              <w:t xml:space="preserve"> increased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5 (2.7)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Nasopharyngitis</w:t>
            </w:r>
            <w:proofErr w:type="spellEnd"/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4 (2.2)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Urinary tract infection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3 (1.6)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Anaemia</w:t>
            </w:r>
            <w:proofErr w:type="spellEnd"/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2 (1.1)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Dyspepsia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2 (1.1)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Hepatitis toxic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2 (1.1)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Respiratory tract infection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2 (1.1)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Upper respiratory tract infection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3 (1.6)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>Preferred terms with events occurring in any of the treatment groups in the safety set are presented and sorted by descending order of frequency in the GP2015 column.  A patient with multiple occurrences of event within the same system organ class or preferred term under one treatment is counted only once.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>Treatment emergent adverse events are events started after the first dose of study treatment and before study discontinuation or 30 days after last dose, whichever occurs later.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 xml:space="preserve">Adverse event terms are coded using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MedDRA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 xml:space="preserve"> version 19.1. 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 xml:space="preserve">ETN, reference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etanercept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MedDRA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>, medical dictionary f</w:t>
            </w:r>
            <w:r>
              <w:rPr>
                <w:rFonts w:ascii="Arial" w:hAnsi="Arial" w:cs="Arial"/>
                <w:sz w:val="24"/>
                <w:szCs w:val="24"/>
              </w:rPr>
              <w:t>or regulatory activities; TP1, Treatment P</w:t>
            </w:r>
            <w:r w:rsidRPr="002C7612">
              <w:rPr>
                <w:rFonts w:ascii="Arial" w:hAnsi="Arial" w:cs="Arial"/>
                <w:sz w:val="24"/>
                <w:szCs w:val="24"/>
              </w:rPr>
              <w:t>eriod 1.</w:t>
            </w:r>
          </w:p>
        </w:tc>
      </w:tr>
    </w:tbl>
    <w:p w:rsidR="00E62016" w:rsidRPr="002C7612" w:rsidRDefault="00E62016" w:rsidP="00E62016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E62016" w:rsidRPr="002C7612" w:rsidRDefault="00E62016" w:rsidP="00E62016">
      <w:pPr>
        <w:rPr>
          <w:rFonts w:ascii="Arial" w:hAnsi="Arial" w:cs="Arial"/>
          <w:sz w:val="24"/>
          <w:szCs w:val="24"/>
        </w:rPr>
      </w:pPr>
      <w:r w:rsidRPr="002C7612">
        <w:rPr>
          <w:rFonts w:ascii="Arial" w:hAnsi="Arial" w:cs="Arial"/>
          <w:sz w:val="24"/>
          <w:szCs w:val="24"/>
        </w:rPr>
        <w:br w:type="page"/>
      </w:r>
    </w:p>
    <w:p w:rsidR="00E62016" w:rsidRPr="002C7612" w:rsidRDefault="00E62016" w:rsidP="00E62016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Table S3</w:t>
      </w:r>
      <w:r w:rsidRPr="002C7612">
        <w:rPr>
          <w:rFonts w:ascii="Arial" w:hAnsi="Arial" w:cs="Arial"/>
          <w:sz w:val="24"/>
          <w:szCs w:val="24"/>
        </w:rPr>
        <w:t>. TEAEs of special interest up to 24 weeks (TP1 safety set)</w:t>
      </w:r>
    </w:p>
    <w:tbl>
      <w:tblPr>
        <w:tblpPr w:leftFromText="180" w:rightFromText="180" w:vertAnchor="text" w:tblpY="103"/>
        <w:tblW w:w="4991" w:type="pct"/>
        <w:tblLook w:val="0000"/>
      </w:tblPr>
      <w:tblGrid>
        <w:gridCol w:w="3619"/>
        <w:gridCol w:w="2610"/>
        <w:gridCol w:w="3330"/>
      </w:tblGrid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Preferred term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GP2015</w:t>
            </w:r>
          </w:p>
        </w:tc>
        <w:tc>
          <w:tcPr>
            <w:tcW w:w="17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ETN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rPr>
                <w:sz w:val="24"/>
                <w:szCs w:val="24"/>
              </w:rPr>
            </w:pPr>
          </w:p>
        </w:tc>
        <w:tc>
          <w:tcPr>
            <w:tcW w:w="1365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N=186</w:t>
            </w:r>
          </w:p>
        </w:tc>
        <w:tc>
          <w:tcPr>
            <w:tcW w:w="1742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keepNext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N=190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rPr>
                <w:b/>
                <w:sz w:val="24"/>
                <w:szCs w:val="24"/>
              </w:rPr>
            </w:pPr>
          </w:p>
        </w:tc>
        <w:tc>
          <w:tcPr>
            <w:tcW w:w="136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 (%)</w:t>
            </w:r>
          </w:p>
        </w:tc>
        <w:tc>
          <w:tcPr>
            <w:tcW w:w="174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jc w:val="center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>n (%)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rPr>
                <w:b/>
                <w:sz w:val="24"/>
                <w:szCs w:val="24"/>
              </w:rPr>
            </w:pPr>
            <w:r w:rsidRPr="002C7612">
              <w:rPr>
                <w:b/>
                <w:sz w:val="24"/>
                <w:szCs w:val="24"/>
              </w:rPr>
              <w:t xml:space="preserve">Patients with at least one event 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12 (6.5)</w:t>
            </w:r>
          </w:p>
        </w:tc>
        <w:tc>
          <w:tcPr>
            <w:tcW w:w="1742" w:type="pct"/>
            <w:tcBorders>
              <w:top w:val="single" w:sz="4" w:space="0" w:color="auto"/>
            </w:tcBorders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9 (4.7)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Alanine</w:t>
            </w:r>
            <w:proofErr w:type="spellEnd"/>
            <w:r w:rsidRPr="002C7612">
              <w:rPr>
                <w:sz w:val="24"/>
                <w:szCs w:val="24"/>
              </w:rPr>
              <w:t xml:space="preserve"> </w:t>
            </w:r>
            <w:proofErr w:type="spellStart"/>
            <w:r w:rsidRPr="002C7612">
              <w:rPr>
                <w:sz w:val="24"/>
                <w:szCs w:val="24"/>
              </w:rPr>
              <w:t>aminotransferase</w:t>
            </w:r>
            <w:proofErr w:type="spellEnd"/>
            <w:r w:rsidRPr="002C7612">
              <w:rPr>
                <w:sz w:val="24"/>
                <w:szCs w:val="24"/>
              </w:rPr>
              <w:t xml:space="preserve"> increased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8 (4.3)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4 (2.1)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70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Hepatitis toxic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2 (1.1)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70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Interstitial lung disease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Oedema</w:t>
            </w:r>
            <w:proofErr w:type="spellEnd"/>
            <w:r w:rsidRPr="002C7612">
              <w:rPr>
                <w:sz w:val="24"/>
                <w:szCs w:val="24"/>
              </w:rPr>
              <w:t xml:space="preserve"> peripheral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Psoriasis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Pustular</w:t>
            </w:r>
            <w:proofErr w:type="spellEnd"/>
            <w:r w:rsidRPr="002C7612">
              <w:rPr>
                <w:sz w:val="24"/>
                <w:szCs w:val="24"/>
              </w:rPr>
              <w:t xml:space="preserve"> psoriasis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70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Aspartate</w:t>
            </w:r>
            <w:proofErr w:type="spellEnd"/>
            <w:r w:rsidRPr="002C7612">
              <w:rPr>
                <w:sz w:val="24"/>
                <w:szCs w:val="24"/>
              </w:rPr>
              <w:t xml:space="preserve"> </w:t>
            </w:r>
            <w:proofErr w:type="spellStart"/>
            <w:r w:rsidRPr="002C7612">
              <w:rPr>
                <w:sz w:val="24"/>
                <w:szCs w:val="24"/>
              </w:rPr>
              <w:t>aminotransferase</w:t>
            </w:r>
            <w:proofErr w:type="spellEnd"/>
            <w:r w:rsidRPr="002C7612">
              <w:rPr>
                <w:sz w:val="24"/>
                <w:szCs w:val="24"/>
              </w:rPr>
              <w:t xml:space="preserve"> increased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Hepatic enzyme increased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 xml:space="preserve">Hepatic </w:t>
            </w:r>
            <w:proofErr w:type="spellStart"/>
            <w:r w:rsidRPr="002C7612">
              <w:rPr>
                <w:sz w:val="24"/>
                <w:szCs w:val="24"/>
              </w:rPr>
              <w:t>steatosis</w:t>
            </w:r>
            <w:proofErr w:type="spellEnd"/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70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Peripheral swelling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1893" w:type="pct"/>
            <w:shd w:val="clear" w:color="auto" w:fill="auto"/>
            <w:vAlign w:val="bottom"/>
          </w:tcPr>
          <w:p w:rsidR="00E62016" w:rsidRPr="002C7612" w:rsidRDefault="00E62016" w:rsidP="00CF64EB">
            <w:pPr>
              <w:pStyle w:val="Table"/>
              <w:ind w:left="284"/>
              <w:rPr>
                <w:sz w:val="24"/>
                <w:szCs w:val="24"/>
              </w:rPr>
            </w:pPr>
            <w:proofErr w:type="spellStart"/>
            <w:r w:rsidRPr="002C7612">
              <w:rPr>
                <w:sz w:val="24"/>
                <w:szCs w:val="24"/>
              </w:rPr>
              <w:t>Urticaria</w:t>
            </w:r>
            <w:proofErr w:type="spellEnd"/>
          </w:p>
        </w:tc>
        <w:tc>
          <w:tcPr>
            <w:tcW w:w="1365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0</w:t>
            </w:r>
          </w:p>
        </w:tc>
        <w:tc>
          <w:tcPr>
            <w:tcW w:w="1742" w:type="pct"/>
            <w:shd w:val="clear" w:color="auto" w:fill="auto"/>
            <w:vAlign w:val="center"/>
          </w:tcPr>
          <w:p w:rsidR="00E62016" w:rsidRPr="002C7612" w:rsidRDefault="00E62016" w:rsidP="00CF64EB">
            <w:pPr>
              <w:pStyle w:val="Table"/>
              <w:jc w:val="center"/>
              <w:rPr>
                <w:sz w:val="24"/>
                <w:szCs w:val="24"/>
              </w:rPr>
            </w:pPr>
            <w:r w:rsidRPr="002C7612">
              <w:rPr>
                <w:sz w:val="24"/>
                <w:szCs w:val="24"/>
              </w:rPr>
              <w:t>1 (0.5)</w:t>
            </w:r>
          </w:p>
        </w:tc>
      </w:tr>
      <w:tr w:rsidR="00E62016" w:rsidRPr="002C7612" w:rsidTr="00CF64EB">
        <w:trPr>
          <w:cantSplit/>
          <w:tblHeader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>Preferred terms are presented and sorted by descending order of frequency in the GP2015 column.  A patient with multiple occurrences of event within the same  system organ class or preferred term under one treatment is counted only once.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 xml:space="preserve">Treatment emergent adverse events are events started after the first dose of study treatment and before study discontinuation or 30 days after last dose, whichever occurs later. 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 xml:space="preserve">Adverse event terms are coded using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MedDRA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 xml:space="preserve"> version 19.1. </w:t>
            </w:r>
          </w:p>
          <w:p w:rsidR="00E62016" w:rsidRPr="002C7612" w:rsidRDefault="00E62016" w:rsidP="00CF64EB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2C7612">
              <w:rPr>
                <w:rFonts w:ascii="Arial" w:hAnsi="Arial" w:cs="Arial"/>
                <w:sz w:val="24"/>
                <w:szCs w:val="24"/>
              </w:rPr>
              <w:t xml:space="preserve">ETN, reference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etanercept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C7612">
              <w:rPr>
                <w:rFonts w:ascii="Arial" w:hAnsi="Arial" w:cs="Arial"/>
                <w:sz w:val="24"/>
                <w:szCs w:val="24"/>
              </w:rPr>
              <w:t>MedDRA</w:t>
            </w:r>
            <w:proofErr w:type="spellEnd"/>
            <w:r w:rsidRPr="002C7612">
              <w:rPr>
                <w:rFonts w:ascii="Arial" w:hAnsi="Arial" w:cs="Arial"/>
                <w:sz w:val="24"/>
                <w:szCs w:val="24"/>
              </w:rPr>
              <w:t>, medical dictionary for regulatory activities; TEAEs, treatment emergent adverse events, TP</w:t>
            </w:r>
            <w:r>
              <w:rPr>
                <w:rFonts w:ascii="Arial" w:hAnsi="Arial" w:cs="Arial"/>
                <w:sz w:val="24"/>
                <w:szCs w:val="24"/>
              </w:rPr>
              <w:t>1, T</w:t>
            </w:r>
            <w:r w:rsidRPr="002C7612">
              <w:rPr>
                <w:rFonts w:ascii="Arial" w:hAnsi="Arial" w:cs="Arial"/>
                <w:sz w:val="24"/>
                <w:szCs w:val="24"/>
              </w:rPr>
              <w:t xml:space="preserve">reatment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2C7612">
              <w:rPr>
                <w:rFonts w:ascii="Arial" w:hAnsi="Arial" w:cs="Arial"/>
                <w:sz w:val="24"/>
                <w:szCs w:val="24"/>
              </w:rPr>
              <w:t>eriod 1</w:t>
            </w:r>
          </w:p>
        </w:tc>
      </w:tr>
    </w:tbl>
    <w:p w:rsidR="00E62016" w:rsidRPr="002C7612" w:rsidRDefault="00E62016" w:rsidP="00E62016">
      <w:pPr>
        <w:spacing w:after="120" w:line="240" w:lineRule="auto"/>
        <w:rPr>
          <w:rFonts w:ascii="Arial" w:hAnsi="Arial" w:cs="Arial"/>
          <w:sz w:val="24"/>
          <w:szCs w:val="24"/>
        </w:rPr>
      </w:pPr>
    </w:p>
    <w:p w:rsidR="00E62016" w:rsidRDefault="00E62016" w:rsidP="00E62016">
      <w:pPr>
        <w:rPr>
          <w:rFonts w:ascii="Arial" w:hAnsi="Arial" w:cs="Arial"/>
          <w:sz w:val="24"/>
          <w:szCs w:val="24"/>
        </w:rPr>
      </w:pPr>
    </w:p>
    <w:p w:rsidR="00E62016" w:rsidRPr="002C7612" w:rsidRDefault="00E62016" w:rsidP="00B91918">
      <w:pPr>
        <w:rPr>
          <w:rFonts w:ascii="Arial" w:hAnsi="Arial" w:cs="Arial"/>
          <w:sz w:val="24"/>
          <w:szCs w:val="24"/>
        </w:rPr>
      </w:pPr>
    </w:p>
    <w:sectPr w:rsidR="00E62016" w:rsidRPr="002C7612" w:rsidSect="0070077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B6AAB3" w16cid:durableId="1E301B96"/>
  <w16cid:commentId w16cid:paraId="34751495" w16cid:durableId="1E301B97"/>
  <w16cid:commentId w16cid:paraId="415C3BED" w16cid:durableId="1E301CFC"/>
  <w16cid:commentId w16cid:paraId="2279C574" w16cid:durableId="1E301D65"/>
  <w16cid:commentId w16cid:paraId="321B3800" w16cid:durableId="1E301EF2"/>
  <w16cid:commentId w16cid:paraId="6CCFD9E5" w16cid:durableId="1E301F57"/>
  <w16cid:commentId w16cid:paraId="491DF94C" w16cid:durableId="1E301F64"/>
  <w16cid:commentId w16cid:paraId="1B4FB5FD" w16cid:durableId="1E3184A5"/>
  <w16cid:commentId w16cid:paraId="159E5509" w16cid:durableId="1E318E6C"/>
  <w16cid:commentId w16cid:paraId="2C7C9432" w16cid:durableId="1E319000"/>
  <w16cid:commentId w16cid:paraId="1F2E02F2" w16cid:durableId="1E3190D7"/>
  <w16cid:commentId w16cid:paraId="573DE981" w16cid:durableId="1E319198"/>
  <w16cid:commentId w16cid:paraId="21BFF251" w16cid:durableId="1E3193D5"/>
  <w16cid:commentId w16cid:paraId="74BE41D0" w16cid:durableId="1E301B98"/>
  <w16cid:commentId w16cid:paraId="279F8853" w16cid:durableId="1E301B99"/>
  <w16cid:commentId w16cid:paraId="2E3DA27C" w16cid:durableId="1E301B9A"/>
  <w16cid:commentId w16cid:paraId="31912A1E" w16cid:durableId="1E301B9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684" w:rsidRDefault="00161684" w:rsidP="00D9682E">
      <w:pPr>
        <w:spacing w:after="0" w:line="240" w:lineRule="auto"/>
      </w:pPr>
      <w:r>
        <w:separator/>
      </w:r>
    </w:p>
  </w:endnote>
  <w:endnote w:type="continuationSeparator" w:id="0">
    <w:p w:rsidR="00161684" w:rsidRDefault="00161684" w:rsidP="00D9682E">
      <w:pPr>
        <w:spacing w:after="0" w:line="240" w:lineRule="auto"/>
      </w:pPr>
      <w:r>
        <w:continuationSeparator/>
      </w:r>
    </w:p>
  </w:endnote>
  <w:endnote w:type="continuationNotice" w:id="1">
    <w:p w:rsidR="00161684" w:rsidRDefault="0016168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41395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44A6" w:rsidRDefault="00CF2DFC">
        <w:pPr>
          <w:pStyle w:val="Voettekst"/>
          <w:jc w:val="center"/>
        </w:pPr>
        <w:r>
          <w:fldChar w:fldCharType="begin"/>
        </w:r>
        <w:r w:rsidR="00E244A6">
          <w:instrText xml:space="preserve"> PAGE   \* MERGEFORMAT </w:instrText>
        </w:r>
        <w:r>
          <w:fldChar w:fldCharType="separate"/>
        </w:r>
        <w:r w:rsidR="008B7EA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244A6" w:rsidRDefault="00E244A6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684" w:rsidRDefault="00161684" w:rsidP="00D9682E">
      <w:pPr>
        <w:spacing w:after="0" w:line="240" w:lineRule="auto"/>
      </w:pPr>
      <w:r>
        <w:separator/>
      </w:r>
    </w:p>
  </w:footnote>
  <w:footnote w:type="continuationSeparator" w:id="0">
    <w:p w:rsidR="00161684" w:rsidRDefault="00161684" w:rsidP="00D9682E">
      <w:pPr>
        <w:spacing w:after="0" w:line="240" w:lineRule="auto"/>
      </w:pPr>
      <w:r>
        <w:continuationSeparator/>
      </w:r>
    </w:p>
  </w:footnote>
  <w:footnote w:type="continuationNotice" w:id="1">
    <w:p w:rsidR="00161684" w:rsidRDefault="00161684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1103"/>
    <w:multiLevelType w:val="hybridMultilevel"/>
    <w:tmpl w:val="63D42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3798B"/>
    <w:multiLevelType w:val="hybridMultilevel"/>
    <w:tmpl w:val="23A48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64A98"/>
    <w:multiLevelType w:val="hybridMultilevel"/>
    <w:tmpl w:val="D0E20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C3C31"/>
    <w:multiLevelType w:val="hybridMultilevel"/>
    <w:tmpl w:val="177E98E6"/>
    <w:lvl w:ilvl="0" w:tplc="C3566F9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F3F6F"/>
    <w:multiLevelType w:val="hybridMultilevel"/>
    <w:tmpl w:val="B1FC8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35418"/>
    <w:multiLevelType w:val="hybridMultilevel"/>
    <w:tmpl w:val="F826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957B0"/>
    <w:multiLevelType w:val="hybridMultilevel"/>
    <w:tmpl w:val="BD922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71BC4"/>
    <w:multiLevelType w:val="hybridMultilevel"/>
    <w:tmpl w:val="DDE66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11014"/>
    <w:multiLevelType w:val="hybridMultilevel"/>
    <w:tmpl w:val="21D09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C2A8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805CE"/>
    <w:multiLevelType w:val="hybridMultilevel"/>
    <w:tmpl w:val="558AF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453928"/>
    <w:multiLevelType w:val="hybridMultilevel"/>
    <w:tmpl w:val="E77AB3E2"/>
    <w:lvl w:ilvl="0" w:tplc="7CA89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21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2C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D64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E9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CE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C1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4B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C5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84429B8"/>
    <w:multiLevelType w:val="hybridMultilevel"/>
    <w:tmpl w:val="80EEB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918CD"/>
    <w:multiLevelType w:val="hybridMultilevel"/>
    <w:tmpl w:val="84FE8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1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2"/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ndrasekhar, Divya">
    <w15:presenceInfo w15:providerId="AD" w15:userId="S-1-5-21-220523388-1563985344-839522115-17940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s-ES" w:vendorID="64" w:dllVersion="131078" w:nlCheck="1" w:checkStyle="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/>
  <w:trackRevisions/>
  <w:defaultTabStop w:val="720"/>
  <w:hyphenationZone w:val="283"/>
  <w:characterSpacingControl w:val="doNotCompress"/>
  <w:hdrShapeDefaults>
    <o:shapedefaults v:ext="edit" spidmax="2355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73618"/>
    <w:rsid w:val="00003A88"/>
    <w:rsid w:val="0000753F"/>
    <w:rsid w:val="000076BD"/>
    <w:rsid w:val="00012DE5"/>
    <w:rsid w:val="000348D8"/>
    <w:rsid w:val="00034916"/>
    <w:rsid w:val="000377EC"/>
    <w:rsid w:val="00037E70"/>
    <w:rsid w:val="0004345C"/>
    <w:rsid w:val="00043ED5"/>
    <w:rsid w:val="00044263"/>
    <w:rsid w:val="0004502D"/>
    <w:rsid w:val="00050444"/>
    <w:rsid w:val="0006612D"/>
    <w:rsid w:val="0006644D"/>
    <w:rsid w:val="0007120D"/>
    <w:rsid w:val="0007137F"/>
    <w:rsid w:val="00073618"/>
    <w:rsid w:val="00074A02"/>
    <w:rsid w:val="0007645D"/>
    <w:rsid w:val="00076518"/>
    <w:rsid w:val="00076AD3"/>
    <w:rsid w:val="000771F1"/>
    <w:rsid w:val="000807B8"/>
    <w:rsid w:val="00081586"/>
    <w:rsid w:val="0008242D"/>
    <w:rsid w:val="00085760"/>
    <w:rsid w:val="000874E6"/>
    <w:rsid w:val="000909A9"/>
    <w:rsid w:val="00092E42"/>
    <w:rsid w:val="00095108"/>
    <w:rsid w:val="000A19EE"/>
    <w:rsid w:val="000A651D"/>
    <w:rsid w:val="000A709D"/>
    <w:rsid w:val="000A76AF"/>
    <w:rsid w:val="000A7C01"/>
    <w:rsid w:val="000B0619"/>
    <w:rsid w:val="000B0F76"/>
    <w:rsid w:val="000B5C52"/>
    <w:rsid w:val="000C19A3"/>
    <w:rsid w:val="000C1CAD"/>
    <w:rsid w:val="000C1ED7"/>
    <w:rsid w:val="000C5712"/>
    <w:rsid w:val="000D43B2"/>
    <w:rsid w:val="000D731E"/>
    <w:rsid w:val="000E03AE"/>
    <w:rsid w:val="000E2E66"/>
    <w:rsid w:val="000E438C"/>
    <w:rsid w:val="000E468D"/>
    <w:rsid w:val="000E52D3"/>
    <w:rsid w:val="000E5590"/>
    <w:rsid w:val="000E622C"/>
    <w:rsid w:val="000E6512"/>
    <w:rsid w:val="000E78B4"/>
    <w:rsid w:val="000F1C5A"/>
    <w:rsid w:val="000F472D"/>
    <w:rsid w:val="00100379"/>
    <w:rsid w:val="00101B11"/>
    <w:rsid w:val="00103689"/>
    <w:rsid w:val="00103C1D"/>
    <w:rsid w:val="00105597"/>
    <w:rsid w:val="0010573D"/>
    <w:rsid w:val="0010574A"/>
    <w:rsid w:val="0010581C"/>
    <w:rsid w:val="001067B8"/>
    <w:rsid w:val="00106D0E"/>
    <w:rsid w:val="001073FC"/>
    <w:rsid w:val="001075E2"/>
    <w:rsid w:val="0011039F"/>
    <w:rsid w:val="0011204B"/>
    <w:rsid w:val="00117128"/>
    <w:rsid w:val="0011737B"/>
    <w:rsid w:val="001216CF"/>
    <w:rsid w:val="0012566E"/>
    <w:rsid w:val="00132188"/>
    <w:rsid w:val="001350C3"/>
    <w:rsid w:val="00135D5E"/>
    <w:rsid w:val="001369E1"/>
    <w:rsid w:val="00143F93"/>
    <w:rsid w:val="00144E4C"/>
    <w:rsid w:val="00144EA0"/>
    <w:rsid w:val="00145D10"/>
    <w:rsid w:val="001509A8"/>
    <w:rsid w:val="001519D5"/>
    <w:rsid w:val="00152001"/>
    <w:rsid w:val="00156218"/>
    <w:rsid w:val="00156A60"/>
    <w:rsid w:val="00160BC3"/>
    <w:rsid w:val="00161684"/>
    <w:rsid w:val="00161B17"/>
    <w:rsid w:val="00164F34"/>
    <w:rsid w:val="001653B6"/>
    <w:rsid w:val="00165EB4"/>
    <w:rsid w:val="001706A5"/>
    <w:rsid w:val="001751FB"/>
    <w:rsid w:val="001760F7"/>
    <w:rsid w:val="00177016"/>
    <w:rsid w:val="00177DF5"/>
    <w:rsid w:val="00183CFC"/>
    <w:rsid w:val="00185331"/>
    <w:rsid w:val="001865A9"/>
    <w:rsid w:val="00187D02"/>
    <w:rsid w:val="00192624"/>
    <w:rsid w:val="001930B8"/>
    <w:rsid w:val="00193A21"/>
    <w:rsid w:val="0019489F"/>
    <w:rsid w:val="0019744F"/>
    <w:rsid w:val="0019747F"/>
    <w:rsid w:val="001A2BB7"/>
    <w:rsid w:val="001A36BF"/>
    <w:rsid w:val="001A4A9F"/>
    <w:rsid w:val="001A7AD8"/>
    <w:rsid w:val="001B01E3"/>
    <w:rsid w:val="001B1C84"/>
    <w:rsid w:val="001B34F7"/>
    <w:rsid w:val="001B40B9"/>
    <w:rsid w:val="001B4407"/>
    <w:rsid w:val="001B4FF2"/>
    <w:rsid w:val="001C158D"/>
    <w:rsid w:val="001C256A"/>
    <w:rsid w:val="001C56EF"/>
    <w:rsid w:val="001C578B"/>
    <w:rsid w:val="001C711E"/>
    <w:rsid w:val="001D0CCC"/>
    <w:rsid w:val="001D260A"/>
    <w:rsid w:val="001D330B"/>
    <w:rsid w:val="001D3F90"/>
    <w:rsid w:val="001D5B91"/>
    <w:rsid w:val="001E291A"/>
    <w:rsid w:val="001E33C4"/>
    <w:rsid w:val="001E4ABB"/>
    <w:rsid w:val="001E5661"/>
    <w:rsid w:val="001E59AB"/>
    <w:rsid w:val="001F0501"/>
    <w:rsid w:val="001F3BC2"/>
    <w:rsid w:val="001F3F4A"/>
    <w:rsid w:val="001F5847"/>
    <w:rsid w:val="001F5AE5"/>
    <w:rsid w:val="001F5CDB"/>
    <w:rsid w:val="001F794F"/>
    <w:rsid w:val="00200247"/>
    <w:rsid w:val="00200B54"/>
    <w:rsid w:val="00204E60"/>
    <w:rsid w:val="002073E0"/>
    <w:rsid w:val="00214722"/>
    <w:rsid w:val="00216D09"/>
    <w:rsid w:val="00217DE5"/>
    <w:rsid w:val="002205E2"/>
    <w:rsid w:val="00222478"/>
    <w:rsid w:val="002237EA"/>
    <w:rsid w:val="00232746"/>
    <w:rsid w:val="00240D6A"/>
    <w:rsid w:val="002434EC"/>
    <w:rsid w:val="002465D0"/>
    <w:rsid w:val="0025341D"/>
    <w:rsid w:val="00261A9C"/>
    <w:rsid w:val="00261FB0"/>
    <w:rsid w:val="002634F5"/>
    <w:rsid w:val="00263E89"/>
    <w:rsid w:val="00264447"/>
    <w:rsid w:val="00264829"/>
    <w:rsid w:val="0026658A"/>
    <w:rsid w:val="00271A65"/>
    <w:rsid w:val="00272BCA"/>
    <w:rsid w:val="00275BD6"/>
    <w:rsid w:val="002852E9"/>
    <w:rsid w:val="00291749"/>
    <w:rsid w:val="00292D8D"/>
    <w:rsid w:val="00293A16"/>
    <w:rsid w:val="00294E37"/>
    <w:rsid w:val="002A4E47"/>
    <w:rsid w:val="002B08A0"/>
    <w:rsid w:val="002B5BFB"/>
    <w:rsid w:val="002B7425"/>
    <w:rsid w:val="002C0C83"/>
    <w:rsid w:val="002C13B1"/>
    <w:rsid w:val="002C43A5"/>
    <w:rsid w:val="002C62D0"/>
    <w:rsid w:val="002C64D4"/>
    <w:rsid w:val="002C7612"/>
    <w:rsid w:val="002D4713"/>
    <w:rsid w:val="002D6FDA"/>
    <w:rsid w:val="002E0AC7"/>
    <w:rsid w:val="002E16C1"/>
    <w:rsid w:val="002E4FA1"/>
    <w:rsid w:val="002F1867"/>
    <w:rsid w:val="002F538D"/>
    <w:rsid w:val="00300BBF"/>
    <w:rsid w:val="00302D8D"/>
    <w:rsid w:val="0030339A"/>
    <w:rsid w:val="0030497C"/>
    <w:rsid w:val="00305FB7"/>
    <w:rsid w:val="0031201A"/>
    <w:rsid w:val="00316F3F"/>
    <w:rsid w:val="00322D70"/>
    <w:rsid w:val="0032374F"/>
    <w:rsid w:val="00325FDF"/>
    <w:rsid w:val="003277D6"/>
    <w:rsid w:val="00330F2A"/>
    <w:rsid w:val="0033281F"/>
    <w:rsid w:val="003356B2"/>
    <w:rsid w:val="00335999"/>
    <w:rsid w:val="00342D57"/>
    <w:rsid w:val="00342EAA"/>
    <w:rsid w:val="00344016"/>
    <w:rsid w:val="00344273"/>
    <w:rsid w:val="00346066"/>
    <w:rsid w:val="00347E16"/>
    <w:rsid w:val="00351CCC"/>
    <w:rsid w:val="00352F20"/>
    <w:rsid w:val="00357266"/>
    <w:rsid w:val="00361A29"/>
    <w:rsid w:val="003653CC"/>
    <w:rsid w:val="003657A8"/>
    <w:rsid w:val="0037158A"/>
    <w:rsid w:val="00373295"/>
    <w:rsid w:val="003764A9"/>
    <w:rsid w:val="00384FB6"/>
    <w:rsid w:val="00391BEE"/>
    <w:rsid w:val="00392E11"/>
    <w:rsid w:val="003942EC"/>
    <w:rsid w:val="00397DB4"/>
    <w:rsid w:val="003A10D8"/>
    <w:rsid w:val="003B142A"/>
    <w:rsid w:val="003C2197"/>
    <w:rsid w:val="003C238B"/>
    <w:rsid w:val="003C26D6"/>
    <w:rsid w:val="003C4D07"/>
    <w:rsid w:val="003C5853"/>
    <w:rsid w:val="003D084C"/>
    <w:rsid w:val="003D2446"/>
    <w:rsid w:val="003D244C"/>
    <w:rsid w:val="003D2646"/>
    <w:rsid w:val="003D2AA3"/>
    <w:rsid w:val="003D5174"/>
    <w:rsid w:val="003D5AAF"/>
    <w:rsid w:val="003D5BE5"/>
    <w:rsid w:val="003E0047"/>
    <w:rsid w:val="003E1C9A"/>
    <w:rsid w:val="003E1DCB"/>
    <w:rsid w:val="003E3186"/>
    <w:rsid w:val="003E4A4A"/>
    <w:rsid w:val="003E6A13"/>
    <w:rsid w:val="003F15FE"/>
    <w:rsid w:val="003F2968"/>
    <w:rsid w:val="003F2A9A"/>
    <w:rsid w:val="003F2CFC"/>
    <w:rsid w:val="003F6CFE"/>
    <w:rsid w:val="003F72A8"/>
    <w:rsid w:val="00403308"/>
    <w:rsid w:val="00404BAF"/>
    <w:rsid w:val="00404C42"/>
    <w:rsid w:val="0040699D"/>
    <w:rsid w:val="00406A5D"/>
    <w:rsid w:val="0040753A"/>
    <w:rsid w:val="00415401"/>
    <w:rsid w:val="00416480"/>
    <w:rsid w:val="00421EC2"/>
    <w:rsid w:val="004272CA"/>
    <w:rsid w:val="004305F3"/>
    <w:rsid w:val="00430789"/>
    <w:rsid w:val="00431633"/>
    <w:rsid w:val="00431EC2"/>
    <w:rsid w:val="00432A55"/>
    <w:rsid w:val="00432DA1"/>
    <w:rsid w:val="00433673"/>
    <w:rsid w:val="004336E9"/>
    <w:rsid w:val="00436199"/>
    <w:rsid w:val="00441212"/>
    <w:rsid w:val="00443BB4"/>
    <w:rsid w:val="00445385"/>
    <w:rsid w:val="0044597F"/>
    <w:rsid w:val="00450CD8"/>
    <w:rsid w:val="004566F9"/>
    <w:rsid w:val="00457663"/>
    <w:rsid w:val="0046085F"/>
    <w:rsid w:val="00461ED0"/>
    <w:rsid w:val="00462013"/>
    <w:rsid w:val="004637A8"/>
    <w:rsid w:val="00464BEB"/>
    <w:rsid w:val="0046601A"/>
    <w:rsid w:val="004707A8"/>
    <w:rsid w:val="004714F9"/>
    <w:rsid w:val="00471BB2"/>
    <w:rsid w:val="00472921"/>
    <w:rsid w:val="00474324"/>
    <w:rsid w:val="00477441"/>
    <w:rsid w:val="00481F0D"/>
    <w:rsid w:val="004826CD"/>
    <w:rsid w:val="00482FE3"/>
    <w:rsid w:val="00490EBF"/>
    <w:rsid w:val="00493FB4"/>
    <w:rsid w:val="004941EB"/>
    <w:rsid w:val="00495EA8"/>
    <w:rsid w:val="004A01DC"/>
    <w:rsid w:val="004A2ED2"/>
    <w:rsid w:val="004A321C"/>
    <w:rsid w:val="004A5755"/>
    <w:rsid w:val="004B166C"/>
    <w:rsid w:val="004B6B1B"/>
    <w:rsid w:val="004C039F"/>
    <w:rsid w:val="004C0991"/>
    <w:rsid w:val="004C16BB"/>
    <w:rsid w:val="004C43C0"/>
    <w:rsid w:val="004C4D74"/>
    <w:rsid w:val="004C6E00"/>
    <w:rsid w:val="004D2FF6"/>
    <w:rsid w:val="004D3E41"/>
    <w:rsid w:val="004D4CB9"/>
    <w:rsid w:val="004D55A0"/>
    <w:rsid w:val="004D6206"/>
    <w:rsid w:val="004E377C"/>
    <w:rsid w:val="004E530E"/>
    <w:rsid w:val="004F2977"/>
    <w:rsid w:val="004F4F4F"/>
    <w:rsid w:val="004F6127"/>
    <w:rsid w:val="004F7972"/>
    <w:rsid w:val="004F7CAB"/>
    <w:rsid w:val="00504BEB"/>
    <w:rsid w:val="00506B85"/>
    <w:rsid w:val="00511F29"/>
    <w:rsid w:val="00517F8C"/>
    <w:rsid w:val="00520395"/>
    <w:rsid w:val="0052156B"/>
    <w:rsid w:val="005217BB"/>
    <w:rsid w:val="00521C32"/>
    <w:rsid w:val="00525681"/>
    <w:rsid w:val="00526141"/>
    <w:rsid w:val="00530CDF"/>
    <w:rsid w:val="00531465"/>
    <w:rsid w:val="00531B30"/>
    <w:rsid w:val="00532477"/>
    <w:rsid w:val="005414BB"/>
    <w:rsid w:val="00542ADE"/>
    <w:rsid w:val="00545D45"/>
    <w:rsid w:val="0055392F"/>
    <w:rsid w:val="0055674B"/>
    <w:rsid w:val="00563919"/>
    <w:rsid w:val="0056461E"/>
    <w:rsid w:val="005656BE"/>
    <w:rsid w:val="00565FAF"/>
    <w:rsid w:val="005660EB"/>
    <w:rsid w:val="00571418"/>
    <w:rsid w:val="00574279"/>
    <w:rsid w:val="00574AAA"/>
    <w:rsid w:val="00575DA8"/>
    <w:rsid w:val="00591B91"/>
    <w:rsid w:val="00592483"/>
    <w:rsid w:val="00592CFE"/>
    <w:rsid w:val="00596BB9"/>
    <w:rsid w:val="005A43DF"/>
    <w:rsid w:val="005A4921"/>
    <w:rsid w:val="005A4C7B"/>
    <w:rsid w:val="005A4CF5"/>
    <w:rsid w:val="005A7CBB"/>
    <w:rsid w:val="005B3A5D"/>
    <w:rsid w:val="005B3D75"/>
    <w:rsid w:val="005B7961"/>
    <w:rsid w:val="005C03E8"/>
    <w:rsid w:val="005C73BC"/>
    <w:rsid w:val="005D4BEB"/>
    <w:rsid w:val="005D77C3"/>
    <w:rsid w:val="005E0655"/>
    <w:rsid w:val="005E1BC0"/>
    <w:rsid w:val="005E47B0"/>
    <w:rsid w:val="005E6659"/>
    <w:rsid w:val="005F0E56"/>
    <w:rsid w:val="005F30D0"/>
    <w:rsid w:val="005F468F"/>
    <w:rsid w:val="005F4845"/>
    <w:rsid w:val="005F5659"/>
    <w:rsid w:val="005F7295"/>
    <w:rsid w:val="00605F73"/>
    <w:rsid w:val="006077F2"/>
    <w:rsid w:val="00610935"/>
    <w:rsid w:val="0061375D"/>
    <w:rsid w:val="00614B42"/>
    <w:rsid w:val="00620876"/>
    <w:rsid w:val="006210ED"/>
    <w:rsid w:val="00623D07"/>
    <w:rsid w:val="006248F3"/>
    <w:rsid w:val="00624D13"/>
    <w:rsid w:val="00625B77"/>
    <w:rsid w:val="006333F2"/>
    <w:rsid w:val="00634E81"/>
    <w:rsid w:val="00636CF4"/>
    <w:rsid w:val="0064234E"/>
    <w:rsid w:val="006438FB"/>
    <w:rsid w:val="00645F29"/>
    <w:rsid w:val="00646402"/>
    <w:rsid w:val="006477B4"/>
    <w:rsid w:val="00647E8E"/>
    <w:rsid w:val="00650F88"/>
    <w:rsid w:val="006560E3"/>
    <w:rsid w:val="00656225"/>
    <w:rsid w:val="00656C3A"/>
    <w:rsid w:val="0066296A"/>
    <w:rsid w:val="006657CC"/>
    <w:rsid w:val="00667717"/>
    <w:rsid w:val="00670CD8"/>
    <w:rsid w:val="00671DFA"/>
    <w:rsid w:val="00674093"/>
    <w:rsid w:val="00675183"/>
    <w:rsid w:val="0067604F"/>
    <w:rsid w:val="0067641C"/>
    <w:rsid w:val="00677169"/>
    <w:rsid w:val="00677AEC"/>
    <w:rsid w:val="006820D7"/>
    <w:rsid w:val="00682AB0"/>
    <w:rsid w:val="0068473A"/>
    <w:rsid w:val="00687425"/>
    <w:rsid w:val="00690D46"/>
    <w:rsid w:val="00692F98"/>
    <w:rsid w:val="006937FB"/>
    <w:rsid w:val="006944D7"/>
    <w:rsid w:val="00697AB4"/>
    <w:rsid w:val="006A009F"/>
    <w:rsid w:val="006A279D"/>
    <w:rsid w:val="006A2FF1"/>
    <w:rsid w:val="006A71CE"/>
    <w:rsid w:val="006B361E"/>
    <w:rsid w:val="006B3A85"/>
    <w:rsid w:val="006B5AB2"/>
    <w:rsid w:val="006B698E"/>
    <w:rsid w:val="006B6D2A"/>
    <w:rsid w:val="006C435F"/>
    <w:rsid w:val="006C7EDE"/>
    <w:rsid w:val="006D0C80"/>
    <w:rsid w:val="006D2019"/>
    <w:rsid w:val="006D224F"/>
    <w:rsid w:val="006D7C84"/>
    <w:rsid w:val="006E1044"/>
    <w:rsid w:val="006E5486"/>
    <w:rsid w:val="006F0F39"/>
    <w:rsid w:val="006F342F"/>
    <w:rsid w:val="00700775"/>
    <w:rsid w:val="00701CBE"/>
    <w:rsid w:val="00705463"/>
    <w:rsid w:val="00707651"/>
    <w:rsid w:val="007079A0"/>
    <w:rsid w:val="00712464"/>
    <w:rsid w:val="00712CD3"/>
    <w:rsid w:val="00715B15"/>
    <w:rsid w:val="007169DE"/>
    <w:rsid w:val="007203A7"/>
    <w:rsid w:val="00722B69"/>
    <w:rsid w:val="0073055D"/>
    <w:rsid w:val="00730C25"/>
    <w:rsid w:val="0073105A"/>
    <w:rsid w:val="007326E8"/>
    <w:rsid w:val="00736493"/>
    <w:rsid w:val="0073719C"/>
    <w:rsid w:val="00740845"/>
    <w:rsid w:val="0074171E"/>
    <w:rsid w:val="0074188B"/>
    <w:rsid w:val="00742518"/>
    <w:rsid w:val="00747BD7"/>
    <w:rsid w:val="007506CD"/>
    <w:rsid w:val="0075251A"/>
    <w:rsid w:val="007531B0"/>
    <w:rsid w:val="0075797D"/>
    <w:rsid w:val="007636FE"/>
    <w:rsid w:val="00765E93"/>
    <w:rsid w:val="00767504"/>
    <w:rsid w:val="007725DC"/>
    <w:rsid w:val="00775168"/>
    <w:rsid w:val="00775662"/>
    <w:rsid w:val="00776082"/>
    <w:rsid w:val="00781240"/>
    <w:rsid w:val="007841F0"/>
    <w:rsid w:val="00786944"/>
    <w:rsid w:val="00787968"/>
    <w:rsid w:val="00793439"/>
    <w:rsid w:val="00795AEB"/>
    <w:rsid w:val="007972F5"/>
    <w:rsid w:val="007A0B9F"/>
    <w:rsid w:val="007A2FFE"/>
    <w:rsid w:val="007A3C87"/>
    <w:rsid w:val="007A4514"/>
    <w:rsid w:val="007A5376"/>
    <w:rsid w:val="007B02DB"/>
    <w:rsid w:val="007B1A39"/>
    <w:rsid w:val="007B1F7A"/>
    <w:rsid w:val="007B510D"/>
    <w:rsid w:val="007B5C0F"/>
    <w:rsid w:val="007C5803"/>
    <w:rsid w:val="007C6A26"/>
    <w:rsid w:val="007D33DF"/>
    <w:rsid w:val="007D462A"/>
    <w:rsid w:val="007D541E"/>
    <w:rsid w:val="007D7C4E"/>
    <w:rsid w:val="007E04EE"/>
    <w:rsid w:val="007E0BDC"/>
    <w:rsid w:val="007E1AFD"/>
    <w:rsid w:val="007E5715"/>
    <w:rsid w:val="007E5A27"/>
    <w:rsid w:val="007E7CAD"/>
    <w:rsid w:val="007F2FD8"/>
    <w:rsid w:val="007F3229"/>
    <w:rsid w:val="007F386C"/>
    <w:rsid w:val="007F53AD"/>
    <w:rsid w:val="007F5AFD"/>
    <w:rsid w:val="0080160F"/>
    <w:rsid w:val="008017C5"/>
    <w:rsid w:val="00803A8F"/>
    <w:rsid w:val="0081295A"/>
    <w:rsid w:val="008135CA"/>
    <w:rsid w:val="0081606B"/>
    <w:rsid w:val="0081715C"/>
    <w:rsid w:val="00820E2B"/>
    <w:rsid w:val="008215BD"/>
    <w:rsid w:val="00831D56"/>
    <w:rsid w:val="0083203D"/>
    <w:rsid w:val="00833751"/>
    <w:rsid w:val="00835E9C"/>
    <w:rsid w:val="00837C66"/>
    <w:rsid w:val="00837C7E"/>
    <w:rsid w:val="00843F16"/>
    <w:rsid w:val="00851882"/>
    <w:rsid w:val="00861078"/>
    <w:rsid w:val="008643C6"/>
    <w:rsid w:val="00865287"/>
    <w:rsid w:val="00865C13"/>
    <w:rsid w:val="0087122F"/>
    <w:rsid w:val="0087371D"/>
    <w:rsid w:val="00877C13"/>
    <w:rsid w:val="00881AD5"/>
    <w:rsid w:val="008829B5"/>
    <w:rsid w:val="008847D7"/>
    <w:rsid w:val="0088632A"/>
    <w:rsid w:val="00890A2A"/>
    <w:rsid w:val="008936B7"/>
    <w:rsid w:val="00893999"/>
    <w:rsid w:val="008947A4"/>
    <w:rsid w:val="0089498B"/>
    <w:rsid w:val="008951C4"/>
    <w:rsid w:val="008955F7"/>
    <w:rsid w:val="008A3F8F"/>
    <w:rsid w:val="008A6A4F"/>
    <w:rsid w:val="008B0C4E"/>
    <w:rsid w:val="008B35FA"/>
    <w:rsid w:val="008B52B5"/>
    <w:rsid w:val="008B7EAC"/>
    <w:rsid w:val="008C0E9B"/>
    <w:rsid w:val="008C3961"/>
    <w:rsid w:val="008C5F3E"/>
    <w:rsid w:val="008D08BA"/>
    <w:rsid w:val="008D5624"/>
    <w:rsid w:val="008D61C9"/>
    <w:rsid w:val="008E16B7"/>
    <w:rsid w:val="008E2FE5"/>
    <w:rsid w:val="008E33B2"/>
    <w:rsid w:val="008E5D19"/>
    <w:rsid w:val="008F0CAD"/>
    <w:rsid w:val="008F31E4"/>
    <w:rsid w:val="008F35A2"/>
    <w:rsid w:val="008F4377"/>
    <w:rsid w:val="008F45DC"/>
    <w:rsid w:val="008F54D1"/>
    <w:rsid w:val="00910951"/>
    <w:rsid w:val="009209EB"/>
    <w:rsid w:val="0092209B"/>
    <w:rsid w:val="009252C6"/>
    <w:rsid w:val="009259CB"/>
    <w:rsid w:val="00926ACE"/>
    <w:rsid w:val="00927251"/>
    <w:rsid w:val="00931045"/>
    <w:rsid w:val="00931414"/>
    <w:rsid w:val="009318F2"/>
    <w:rsid w:val="009333F2"/>
    <w:rsid w:val="009359F5"/>
    <w:rsid w:val="0093659E"/>
    <w:rsid w:val="00937ECA"/>
    <w:rsid w:val="00940C3A"/>
    <w:rsid w:val="0094478E"/>
    <w:rsid w:val="00944FB8"/>
    <w:rsid w:val="0094544F"/>
    <w:rsid w:val="00962C8C"/>
    <w:rsid w:val="00962F39"/>
    <w:rsid w:val="0096672F"/>
    <w:rsid w:val="009673CB"/>
    <w:rsid w:val="009673DB"/>
    <w:rsid w:val="0096754D"/>
    <w:rsid w:val="009715F7"/>
    <w:rsid w:val="00971977"/>
    <w:rsid w:val="00974A11"/>
    <w:rsid w:val="0098008E"/>
    <w:rsid w:val="00984553"/>
    <w:rsid w:val="00984A01"/>
    <w:rsid w:val="00984FA3"/>
    <w:rsid w:val="00985322"/>
    <w:rsid w:val="00987BFA"/>
    <w:rsid w:val="00991EB7"/>
    <w:rsid w:val="009956EA"/>
    <w:rsid w:val="0099760C"/>
    <w:rsid w:val="00997FFD"/>
    <w:rsid w:val="009A1437"/>
    <w:rsid w:val="009A1533"/>
    <w:rsid w:val="009A2690"/>
    <w:rsid w:val="009A26C0"/>
    <w:rsid w:val="009A38F9"/>
    <w:rsid w:val="009A54F0"/>
    <w:rsid w:val="009A5E0E"/>
    <w:rsid w:val="009A602C"/>
    <w:rsid w:val="009A6D36"/>
    <w:rsid w:val="009B5C0F"/>
    <w:rsid w:val="009B5C96"/>
    <w:rsid w:val="009B5EE2"/>
    <w:rsid w:val="009B5FFE"/>
    <w:rsid w:val="009B66D1"/>
    <w:rsid w:val="009B7A1B"/>
    <w:rsid w:val="009C3C11"/>
    <w:rsid w:val="009C466F"/>
    <w:rsid w:val="009D0DEE"/>
    <w:rsid w:val="009D3FE4"/>
    <w:rsid w:val="009D5C0B"/>
    <w:rsid w:val="009E29B9"/>
    <w:rsid w:val="009E543B"/>
    <w:rsid w:val="009E5694"/>
    <w:rsid w:val="009E7AE4"/>
    <w:rsid w:val="009F0E93"/>
    <w:rsid w:val="009F10F8"/>
    <w:rsid w:val="009F37BE"/>
    <w:rsid w:val="00A03190"/>
    <w:rsid w:val="00A11673"/>
    <w:rsid w:val="00A11E40"/>
    <w:rsid w:val="00A1517F"/>
    <w:rsid w:val="00A1619C"/>
    <w:rsid w:val="00A17581"/>
    <w:rsid w:val="00A249AE"/>
    <w:rsid w:val="00A25EEE"/>
    <w:rsid w:val="00A3454A"/>
    <w:rsid w:val="00A35C96"/>
    <w:rsid w:val="00A3663D"/>
    <w:rsid w:val="00A42BBE"/>
    <w:rsid w:val="00A43424"/>
    <w:rsid w:val="00A44312"/>
    <w:rsid w:val="00A46535"/>
    <w:rsid w:val="00A46A49"/>
    <w:rsid w:val="00A51355"/>
    <w:rsid w:val="00A514BD"/>
    <w:rsid w:val="00A517F5"/>
    <w:rsid w:val="00A61228"/>
    <w:rsid w:val="00A63048"/>
    <w:rsid w:val="00A6625D"/>
    <w:rsid w:val="00A6751D"/>
    <w:rsid w:val="00A67536"/>
    <w:rsid w:val="00A70D20"/>
    <w:rsid w:val="00A7563C"/>
    <w:rsid w:val="00A75BB8"/>
    <w:rsid w:val="00A81968"/>
    <w:rsid w:val="00A8251B"/>
    <w:rsid w:val="00A830D6"/>
    <w:rsid w:val="00A847A4"/>
    <w:rsid w:val="00A9030A"/>
    <w:rsid w:val="00A9061E"/>
    <w:rsid w:val="00A967EC"/>
    <w:rsid w:val="00AA2EED"/>
    <w:rsid w:val="00AA3FE5"/>
    <w:rsid w:val="00AA5B7B"/>
    <w:rsid w:val="00AB10DC"/>
    <w:rsid w:val="00AB25EE"/>
    <w:rsid w:val="00AB3215"/>
    <w:rsid w:val="00AB57DF"/>
    <w:rsid w:val="00AB6278"/>
    <w:rsid w:val="00AC0D60"/>
    <w:rsid w:val="00AC26C6"/>
    <w:rsid w:val="00AC442E"/>
    <w:rsid w:val="00AC6B8A"/>
    <w:rsid w:val="00AC7803"/>
    <w:rsid w:val="00AD0F7B"/>
    <w:rsid w:val="00AD51CE"/>
    <w:rsid w:val="00AD5B2F"/>
    <w:rsid w:val="00AE508E"/>
    <w:rsid w:val="00AF000E"/>
    <w:rsid w:val="00AF3552"/>
    <w:rsid w:val="00AF39D7"/>
    <w:rsid w:val="00B02826"/>
    <w:rsid w:val="00B06634"/>
    <w:rsid w:val="00B10FD5"/>
    <w:rsid w:val="00B11E87"/>
    <w:rsid w:val="00B12571"/>
    <w:rsid w:val="00B132DC"/>
    <w:rsid w:val="00B15F20"/>
    <w:rsid w:val="00B169D0"/>
    <w:rsid w:val="00B175BB"/>
    <w:rsid w:val="00B17804"/>
    <w:rsid w:val="00B20F85"/>
    <w:rsid w:val="00B211EC"/>
    <w:rsid w:val="00B214C0"/>
    <w:rsid w:val="00B2214F"/>
    <w:rsid w:val="00B234AE"/>
    <w:rsid w:val="00B24796"/>
    <w:rsid w:val="00B26075"/>
    <w:rsid w:val="00B305AF"/>
    <w:rsid w:val="00B324B0"/>
    <w:rsid w:val="00B32749"/>
    <w:rsid w:val="00B3348C"/>
    <w:rsid w:val="00B359CC"/>
    <w:rsid w:val="00B4439B"/>
    <w:rsid w:val="00B44A84"/>
    <w:rsid w:val="00B46856"/>
    <w:rsid w:val="00B51567"/>
    <w:rsid w:val="00B52394"/>
    <w:rsid w:val="00B564C6"/>
    <w:rsid w:val="00B57332"/>
    <w:rsid w:val="00B57ED0"/>
    <w:rsid w:val="00B6681A"/>
    <w:rsid w:val="00B66876"/>
    <w:rsid w:val="00B73F40"/>
    <w:rsid w:val="00B75E9C"/>
    <w:rsid w:val="00B76A89"/>
    <w:rsid w:val="00B82BFA"/>
    <w:rsid w:val="00B83469"/>
    <w:rsid w:val="00B85139"/>
    <w:rsid w:val="00B86B0A"/>
    <w:rsid w:val="00B90E3C"/>
    <w:rsid w:val="00B91918"/>
    <w:rsid w:val="00B91C5D"/>
    <w:rsid w:val="00B92BC2"/>
    <w:rsid w:val="00B93C19"/>
    <w:rsid w:val="00B943BF"/>
    <w:rsid w:val="00B95AD4"/>
    <w:rsid w:val="00B95CE1"/>
    <w:rsid w:val="00B96C9A"/>
    <w:rsid w:val="00B97BF1"/>
    <w:rsid w:val="00BA2F52"/>
    <w:rsid w:val="00BA32C9"/>
    <w:rsid w:val="00BA3B92"/>
    <w:rsid w:val="00BA40FD"/>
    <w:rsid w:val="00BA43DC"/>
    <w:rsid w:val="00BB17F4"/>
    <w:rsid w:val="00BB2FF0"/>
    <w:rsid w:val="00BB55A8"/>
    <w:rsid w:val="00BB731C"/>
    <w:rsid w:val="00BC072E"/>
    <w:rsid w:val="00BC0908"/>
    <w:rsid w:val="00BC16F9"/>
    <w:rsid w:val="00BC2F2F"/>
    <w:rsid w:val="00BC39D1"/>
    <w:rsid w:val="00BC65B4"/>
    <w:rsid w:val="00BC65E5"/>
    <w:rsid w:val="00BD2619"/>
    <w:rsid w:val="00BD344D"/>
    <w:rsid w:val="00BD4DBE"/>
    <w:rsid w:val="00BD74CF"/>
    <w:rsid w:val="00BD7C58"/>
    <w:rsid w:val="00BE15B6"/>
    <w:rsid w:val="00BE59A5"/>
    <w:rsid w:val="00BE6B58"/>
    <w:rsid w:val="00BF3429"/>
    <w:rsid w:val="00BF379E"/>
    <w:rsid w:val="00BF45C5"/>
    <w:rsid w:val="00BF53D9"/>
    <w:rsid w:val="00BF5706"/>
    <w:rsid w:val="00C00D8F"/>
    <w:rsid w:val="00C01A7F"/>
    <w:rsid w:val="00C02CC5"/>
    <w:rsid w:val="00C11F67"/>
    <w:rsid w:val="00C13DC7"/>
    <w:rsid w:val="00C15F6A"/>
    <w:rsid w:val="00C17E56"/>
    <w:rsid w:val="00C25652"/>
    <w:rsid w:val="00C31751"/>
    <w:rsid w:val="00C31BAB"/>
    <w:rsid w:val="00C337AF"/>
    <w:rsid w:val="00C34378"/>
    <w:rsid w:val="00C35109"/>
    <w:rsid w:val="00C36667"/>
    <w:rsid w:val="00C42975"/>
    <w:rsid w:val="00C42CAC"/>
    <w:rsid w:val="00C451E1"/>
    <w:rsid w:val="00C4742F"/>
    <w:rsid w:val="00C47671"/>
    <w:rsid w:val="00C47E8D"/>
    <w:rsid w:val="00C50D83"/>
    <w:rsid w:val="00C52D1C"/>
    <w:rsid w:val="00C52FDE"/>
    <w:rsid w:val="00C535BC"/>
    <w:rsid w:val="00C56D60"/>
    <w:rsid w:val="00C6134C"/>
    <w:rsid w:val="00C62B4D"/>
    <w:rsid w:val="00C63A66"/>
    <w:rsid w:val="00C66C24"/>
    <w:rsid w:val="00C67884"/>
    <w:rsid w:val="00C71240"/>
    <w:rsid w:val="00C71F3A"/>
    <w:rsid w:val="00C723F2"/>
    <w:rsid w:val="00C736DE"/>
    <w:rsid w:val="00C744E3"/>
    <w:rsid w:val="00C77285"/>
    <w:rsid w:val="00C7728A"/>
    <w:rsid w:val="00C773A7"/>
    <w:rsid w:val="00C80B60"/>
    <w:rsid w:val="00C82AAF"/>
    <w:rsid w:val="00C85516"/>
    <w:rsid w:val="00C86412"/>
    <w:rsid w:val="00C865E1"/>
    <w:rsid w:val="00C877BC"/>
    <w:rsid w:val="00C87AB5"/>
    <w:rsid w:val="00CA011A"/>
    <w:rsid w:val="00CA27C3"/>
    <w:rsid w:val="00CA424E"/>
    <w:rsid w:val="00CA5542"/>
    <w:rsid w:val="00CA6288"/>
    <w:rsid w:val="00CB124C"/>
    <w:rsid w:val="00CB2BF4"/>
    <w:rsid w:val="00CB470C"/>
    <w:rsid w:val="00CB5CC8"/>
    <w:rsid w:val="00CB6826"/>
    <w:rsid w:val="00CC1595"/>
    <w:rsid w:val="00CC19D6"/>
    <w:rsid w:val="00CC35D6"/>
    <w:rsid w:val="00CC51A5"/>
    <w:rsid w:val="00CD0DE6"/>
    <w:rsid w:val="00CD18A5"/>
    <w:rsid w:val="00CD24A0"/>
    <w:rsid w:val="00CD48C2"/>
    <w:rsid w:val="00CD5884"/>
    <w:rsid w:val="00CD65A1"/>
    <w:rsid w:val="00CD7141"/>
    <w:rsid w:val="00CE0060"/>
    <w:rsid w:val="00CE1CF8"/>
    <w:rsid w:val="00CE273D"/>
    <w:rsid w:val="00CE4BFF"/>
    <w:rsid w:val="00CE4DB6"/>
    <w:rsid w:val="00CF2DFC"/>
    <w:rsid w:val="00CF2E30"/>
    <w:rsid w:val="00CF3B3D"/>
    <w:rsid w:val="00D0190A"/>
    <w:rsid w:val="00D01C61"/>
    <w:rsid w:val="00D03A90"/>
    <w:rsid w:val="00D06091"/>
    <w:rsid w:val="00D1467C"/>
    <w:rsid w:val="00D15F9A"/>
    <w:rsid w:val="00D17CD3"/>
    <w:rsid w:val="00D17DA8"/>
    <w:rsid w:val="00D20207"/>
    <w:rsid w:val="00D2043B"/>
    <w:rsid w:val="00D25B8B"/>
    <w:rsid w:val="00D30830"/>
    <w:rsid w:val="00D320FD"/>
    <w:rsid w:val="00D326B0"/>
    <w:rsid w:val="00D35A23"/>
    <w:rsid w:val="00D374A4"/>
    <w:rsid w:val="00D37958"/>
    <w:rsid w:val="00D411A1"/>
    <w:rsid w:val="00D41A8A"/>
    <w:rsid w:val="00D442B2"/>
    <w:rsid w:val="00D504F9"/>
    <w:rsid w:val="00D5122C"/>
    <w:rsid w:val="00D5154A"/>
    <w:rsid w:val="00D56914"/>
    <w:rsid w:val="00D607C3"/>
    <w:rsid w:val="00D60D54"/>
    <w:rsid w:val="00D62F77"/>
    <w:rsid w:val="00D66BD3"/>
    <w:rsid w:val="00D71671"/>
    <w:rsid w:val="00D71E86"/>
    <w:rsid w:val="00D735F6"/>
    <w:rsid w:val="00D75E58"/>
    <w:rsid w:val="00D772EE"/>
    <w:rsid w:val="00D77D3D"/>
    <w:rsid w:val="00D83F7E"/>
    <w:rsid w:val="00D863DB"/>
    <w:rsid w:val="00D87FF7"/>
    <w:rsid w:val="00D90AC5"/>
    <w:rsid w:val="00D9150D"/>
    <w:rsid w:val="00D9682E"/>
    <w:rsid w:val="00DA1451"/>
    <w:rsid w:val="00DA27A9"/>
    <w:rsid w:val="00DA2E01"/>
    <w:rsid w:val="00DA3FF2"/>
    <w:rsid w:val="00DA6AC6"/>
    <w:rsid w:val="00DB0041"/>
    <w:rsid w:val="00DB0A4D"/>
    <w:rsid w:val="00DC1AED"/>
    <w:rsid w:val="00DC6887"/>
    <w:rsid w:val="00DD777B"/>
    <w:rsid w:val="00DD799A"/>
    <w:rsid w:val="00DE0F18"/>
    <w:rsid w:val="00DE133B"/>
    <w:rsid w:val="00DE1C04"/>
    <w:rsid w:val="00DE28C0"/>
    <w:rsid w:val="00DE4035"/>
    <w:rsid w:val="00DE4AA2"/>
    <w:rsid w:val="00DF0DF9"/>
    <w:rsid w:val="00DF2288"/>
    <w:rsid w:val="00E0017E"/>
    <w:rsid w:val="00E011D2"/>
    <w:rsid w:val="00E01D13"/>
    <w:rsid w:val="00E029EE"/>
    <w:rsid w:val="00E03637"/>
    <w:rsid w:val="00E110B7"/>
    <w:rsid w:val="00E16DAF"/>
    <w:rsid w:val="00E20433"/>
    <w:rsid w:val="00E216EF"/>
    <w:rsid w:val="00E219B0"/>
    <w:rsid w:val="00E244A6"/>
    <w:rsid w:val="00E25A3A"/>
    <w:rsid w:val="00E270B3"/>
    <w:rsid w:val="00E30C38"/>
    <w:rsid w:val="00E313A7"/>
    <w:rsid w:val="00E354EA"/>
    <w:rsid w:val="00E3557D"/>
    <w:rsid w:val="00E36CF2"/>
    <w:rsid w:val="00E371D1"/>
    <w:rsid w:val="00E40AAB"/>
    <w:rsid w:val="00E4211F"/>
    <w:rsid w:val="00E42B0D"/>
    <w:rsid w:val="00E43AFB"/>
    <w:rsid w:val="00E45A86"/>
    <w:rsid w:val="00E52548"/>
    <w:rsid w:val="00E530FD"/>
    <w:rsid w:val="00E53689"/>
    <w:rsid w:val="00E5476E"/>
    <w:rsid w:val="00E6135D"/>
    <w:rsid w:val="00E62016"/>
    <w:rsid w:val="00E651AE"/>
    <w:rsid w:val="00E67088"/>
    <w:rsid w:val="00E67DC7"/>
    <w:rsid w:val="00E7176A"/>
    <w:rsid w:val="00E72786"/>
    <w:rsid w:val="00E7320F"/>
    <w:rsid w:val="00E83526"/>
    <w:rsid w:val="00E879B6"/>
    <w:rsid w:val="00E9354F"/>
    <w:rsid w:val="00E97743"/>
    <w:rsid w:val="00EA0F79"/>
    <w:rsid w:val="00EA5CE6"/>
    <w:rsid w:val="00EA613E"/>
    <w:rsid w:val="00EB2D92"/>
    <w:rsid w:val="00EB47DD"/>
    <w:rsid w:val="00EB7932"/>
    <w:rsid w:val="00EC00F6"/>
    <w:rsid w:val="00EC057A"/>
    <w:rsid w:val="00EC111F"/>
    <w:rsid w:val="00EC726C"/>
    <w:rsid w:val="00ED2474"/>
    <w:rsid w:val="00ED5DF1"/>
    <w:rsid w:val="00EE3547"/>
    <w:rsid w:val="00EE49E5"/>
    <w:rsid w:val="00EE5790"/>
    <w:rsid w:val="00EE5E0C"/>
    <w:rsid w:val="00EF1124"/>
    <w:rsid w:val="00EF2576"/>
    <w:rsid w:val="00EF296F"/>
    <w:rsid w:val="00EF37FE"/>
    <w:rsid w:val="00EF3E8B"/>
    <w:rsid w:val="00EF46B5"/>
    <w:rsid w:val="00F000FC"/>
    <w:rsid w:val="00F01AD4"/>
    <w:rsid w:val="00F04BF1"/>
    <w:rsid w:val="00F06BF7"/>
    <w:rsid w:val="00F06F4F"/>
    <w:rsid w:val="00F147B5"/>
    <w:rsid w:val="00F258D4"/>
    <w:rsid w:val="00F261B0"/>
    <w:rsid w:val="00F26936"/>
    <w:rsid w:val="00F305E3"/>
    <w:rsid w:val="00F307F5"/>
    <w:rsid w:val="00F33CA0"/>
    <w:rsid w:val="00F417D4"/>
    <w:rsid w:val="00F41DC0"/>
    <w:rsid w:val="00F42FB5"/>
    <w:rsid w:val="00F510AC"/>
    <w:rsid w:val="00F52139"/>
    <w:rsid w:val="00F5282D"/>
    <w:rsid w:val="00F61420"/>
    <w:rsid w:val="00F61F42"/>
    <w:rsid w:val="00F63A0B"/>
    <w:rsid w:val="00F66A2A"/>
    <w:rsid w:val="00F6771F"/>
    <w:rsid w:val="00F71507"/>
    <w:rsid w:val="00F73E6E"/>
    <w:rsid w:val="00F757E4"/>
    <w:rsid w:val="00F802ED"/>
    <w:rsid w:val="00F84945"/>
    <w:rsid w:val="00F875DD"/>
    <w:rsid w:val="00F92915"/>
    <w:rsid w:val="00F92CC3"/>
    <w:rsid w:val="00F95696"/>
    <w:rsid w:val="00FA0DFF"/>
    <w:rsid w:val="00FA196F"/>
    <w:rsid w:val="00FA1999"/>
    <w:rsid w:val="00FB1AA8"/>
    <w:rsid w:val="00FB2B21"/>
    <w:rsid w:val="00FB3C9A"/>
    <w:rsid w:val="00FB43E8"/>
    <w:rsid w:val="00FB4B18"/>
    <w:rsid w:val="00FB4D5C"/>
    <w:rsid w:val="00FB6C67"/>
    <w:rsid w:val="00FC6AAF"/>
    <w:rsid w:val="00FC7F0A"/>
    <w:rsid w:val="00FD58EA"/>
    <w:rsid w:val="00FD5DC9"/>
    <w:rsid w:val="00FD73A3"/>
    <w:rsid w:val="00FD7C67"/>
    <w:rsid w:val="00FE0994"/>
    <w:rsid w:val="00FE1AE0"/>
    <w:rsid w:val="00FE3608"/>
    <w:rsid w:val="00FE7DA3"/>
    <w:rsid w:val="00FF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F2DFC"/>
  </w:style>
  <w:style w:type="paragraph" w:styleId="Kop1">
    <w:name w:val="heading 1"/>
    <w:basedOn w:val="Standaard"/>
    <w:link w:val="Kop1Char"/>
    <w:uiPriority w:val="9"/>
    <w:qFormat/>
    <w:rsid w:val="00135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96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9682E"/>
  </w:style>
  <w:style w:type="paragraph" w:styleId="Voettekst">
    <w:name w:val="footer"/>
    <w:basedOn w:val="Standaard"/>
    <w:link w:val="VoettekstChar"/>
    <w:uiPriority w:val="99"/>
    <w:unhideWhenUsed/>
    <w:rsid w:val="00D96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682E"/>
  </w:style>
  <w:style w:type="paragraph" w:styleId="Ballontekst">
    <w:name w:val="Balloon Text"/>
    <w:basedOn w:val="Standaard"/>
    <w:link w:val="BallontekstChar"/>
    <w:uiPriority w:val="99"/>
    <w:semiHidden/>
    <w:unhideWhenUsed/>
    <w:rsid w:val="00D9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682E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nhideWhenUsed/>
    <w:rsid w:val="00C17E5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17E5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17E5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17E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17E56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A4A9F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06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843F1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43F16"/>
    <w:rPr>
      <w:color w:val="800080" w:themeColor="followedHyperlink"/>
      <w:u w:val="single"/>
    </w:rPr>
  </w:style>
  <w:style w:type="table" w:styleId="Tabelraster">
    <w:name w:val="Table Grid"/>
    <w:basedOn w:val="Standaardtabel"/>
    <w:uiPriority w:val="59"/>
    <w:rsid w:val="00A90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e">
    <w:name w:val="Revision"/>
    <w:hidden/>
    <w:uiPriority w:val="99"/>
    <w:semiHidden/>
    <w:rsid w:val="00472921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135D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ighlight">
    <w:name w:val="highlight"/>
    <w:basedOn w:val="Standaardalinea-lettertype"/>
    <w:rsid w:val="00135D5E"/>
  </w:style>
  <w:style w:type="character" w:customStyle="1" w:styleId="TableChar">
    <w:name w:val="Table Char"/>
    <w:aliases w:val="9 pt Char,10 pt  Bold Char,10 pt Char,9pt Char"/>
    <w:link w:val="Table"/>
    <w:locked/>
    <w:rsid w:val="00335999"/>
    <w:rPr>
      <w:rFonts w:ascii="Arial" w:eastAsia="Times New Roman" w:hAnsi="Arial" w:cs="Arial"/>
    </w:rPr>
  </w:style>
  <w:style w:type="paragraph" w:customStyle="1" w:styleId="Table">
    <w:name w:val="Table"/>
    <w:aliases w:val="9 pt,10 pt  Bold,10 pt,table text 10 pt + Arial,Bold,Normal + (Latin) Arial,(Complex) Arial,Normal + Courier New,9 pNormal + Courier New"/>
    <w:basedOn w:val="Standaard"/>
    <w:link w:val="TableChar"/>
    <w:rsid w:val="00335999"/>
    <w:pPr>
      <w:keepLines/>
      <w:tabs>
        <w:tab w:val="left" w:pos="284"/>
      </w:tabs>
      <w:spacing w:before="40" w:after="20" w:line="240" w:lineRule="auto"/>
    </w:pPr>
    <w:rPr>
      <w:rFonts w:ascii="Arial" w:eastAsia="Times New Roman" w:hAnsi="Arial" w:cs="Arial"/>
    </w:rPr>
  </w:style>
  <w:style w:type="paragraph" w:customStyle="1" w:styleId="Text">
    <w:name w:val="Text"/>
    <w:aliases w:val="Graphic,Graphic Char Char,Graphic Char Char Char Char Char,Graphic Char Char Char Char Char Char Char C"/>
    <w:basedOn w:val="Standaard"/>
    <w:link w:val="TextChar"/>
    <w:qFormat/>
    <w:rsid w:val="00392E11"/>
    <w:pPr>
      <w:spacing w:before="120"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zh-CN"/>
    </w:rPr>
  </w:style>
  <w:style w:type="character" w:customStyle="1" w:styleId="TextChar">
    <w:name w:val="Text Char"/>
    <w:link w:val="Text"/>
    <w:rsid w:val="00392E11"/>
    <w:rPr>
      <w:rFonts w:ascii="Times New Roman" w:eastAsia="MS Mincho" w:hAnsi="Times New Roman" w:cs="Times New Roman"/>
      <w:sz w:val="24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812866647D44EAEDC5B494F5C15E4" ma:contentTypeVersion="13" ma:contentTypeDescription="Create a new document." ma:contentTypeScope="" ma:versionID="8d02e77dea3f653d6a150be63f9c0f38">
  <xsd:schema xmlns:xsd="http://www.w3.org/2001/XMLSchema" xmlns:xs="http://www.w3.org/2001/XMLSchema" xmlns:p="http://schemas.microsoft.com/office/2006/metadata/properties" xmlns:ns2="http://schemas.microsoft.com/sharepoint/v4" xmlns:ns3="f54357e6-f5c5-4f84-bfb6-8f07ae3f4d94" xmlns:ns4="a5aed5e3-c9d2-4388-84e9-f90f610bdc4c" xmlns:ns5="6b7eb032-53df-4e78-8225-d0dd58021010" targetNamespace="http://schemas.microsoft.com/office/2006/metadata/properties" ma:root="true" ma:fieldsID="dc933fc796a109c58c71f781f0b2de24" ns2:_="" ns3:_="" ns4:_="" ns5:_="">
    <xsd:import namespace="http://schemas.microsoft.com/sharepoint/v4"/>
    <xsd:import namespace="f54357e6-f5c5-4f84-bfb6-8f07ae3f4d94"/>
    <xsd:import namespace="a5aed5e3-c9d2-4388-84e9-f90f610bdc4c"/>
    <xsd:import namespace="6b7eb032-53df-4e78-8225-d0dd58021010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  <xsd:element ref="ns4:LastSharedByUser" minOccurs="0"/>
                <xsd:element ref="ns4:LastSharedByTime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Location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357e6-f5c5-4f84-bfb6-8f07ae3f4d9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ed5e3-c9d2-4388-84e9-f90f610bdc4c" elementFormDefault="qualified">
    <xsd:import namespace="http://schemas.microsoft.com/office/2006/documentManagement/types"/>
    <xsd:import namespace="http://schemas.microsoft.com/office/infopath/2007/PartnerControls"/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7eb032-53df-4e78-8225-d0dd58021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F8BD4-FEE8-4F3F-9571-0262B08F6B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415D8C-D310-4D99-8F55-9D1C0D649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f54357e6-f5c5-4f84-bfb6-8f07ae3f4d94"/>
    <ds:schemaRef ds:uri="a5aed5e3-c9d2-4388-84e9-f90f610bdc4c"/>
    <ds:schemaRef ds:uri="6b7eb032-53df-4e78-8225-d0dd580210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7E6BD3-FBA0-47B6-8DD8-94CCA13B15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C65B97F1-312A-488D-8390-A5AF48CDB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1883</Words>
  <Characters>10359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Novartis</Company>
  <LinksUpToDate>false</LinksUpToDate>
  <CharactersWithSpaces>12218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Matucci-Cerinic</dc:creator>
  <cp:lastModifiedBy> </cp:lastModifiedBy>
  <cp:revision>2</cp:revision>
  <cp:lastPrinted>2018-03-14T09:43:00Z</cp:lastPrinted>
  <dcterms:created xsi:type="dcterms:W3CDTF">2018-08-21T08:06:00Z</dcterms:created>
  <dcterms:modified xsi:type="dcterms:W3CDTF">2018-08-21T08:06:00Z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0x010100AAD812866647D44EAEDC5B494F5C15E4</vt:lpwstr>
  </property>
  <property fmtid="{D5CDD505-2E9C-101B-9397-08002B2CF9AE}" pid="3" name="MSIP_Label_4929bff8-5b33-42aa-95d2-28f72e792cb0_Enabled">
    <vt:lpwstr>True</vt:lpwstr>
  </property>
  <property fmtid="{D5CDD505-2E9C-101B-9397-08002B2CF9AE}" pid="4" name="MSIP_Label_4929bff8-5b33-42aa-95d2-28f72e792cb0_SiteId">
    <vt:lpwstr>f35a6974-607f-47d4-82d7-ff31d7dc53a5</vt:lpwstr>
  </property>
  <property fmtid="{D5CDD505-2E9C-101B-9397-08002B2CF9AE}" pid="5" name="MSIP_Label_4929bff8-5b33-42aa-95d2-28f72e792cb0_Ref">
    <vt:lpwstr>https://api.informationprotection.azure.com/api/f35a6974-607f-47d4-82d7-ff31d7dc53a5</vt:lpwstr>
  </property>
  <property fmtid="{D5CDD505-2E9C-101B-9397-08002B2CF9AE}" pid="6" name="MSIP_Label_4929bff8-5b33-42aa-95d2-28f72e792cb0_Owner">
    <vt:lpwstr>CHANDDI2@novartis.net</vt:lpwstr>
  </property>
  <property fmtid="{D5CDD505-2E9C-101B-9397-08002B2CF9AE}" pid="7" name="MSIP_Label_4929bff8-5b33-42aa-95d2-28f72e792cb0_SetDate">
    <vt:lpwstr>2018-07-26T13:55:19.7418387+05:30</vt:lpwstr>
  </property>
  <property fmtid="{D5CDD505-2E9C-101B-9397-08002B2CF9AE}" pid="8" name="MSIP_Label_4929bff8-5b33-42aa-95d2-28f72e792cb0_Name">
    <vt:lpwstr>Business Use Only</vt:lpwstr>
  </property>
  <property fmtid="{D5CDD505-2E9C-101B-9397-08002B2CF9AE}" pid="9" name="MSIP_Label_4929bff8-5b33-42aa-95d2-28f72e792cb0_Application">
    <vt:lpwstr>Microsoft Azure Information Protection</vt:lpwstr>
  </property>
  <property fmtid="{D5CDD505-2E9C-101B-9397-08002B2CF9AE}" pid="10" name="MSIP_Label_4929bff8-5b33-42aa-95d2-28f72e792cb0_Extended_MSFT_Method">
    <vt:lpwstr>Automatic</vt:lpwstr>
  </property>
  <property fmtid="{D5CDD505-2E9C-101B-9397-08002B2CF9AE}" pid="11" name="Confidentiality">
    <vt:lpwstr>Business Use Only</vt:lpwstr>
  </property>
</Properties>
</file>