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4852" w14:textId="2DE971A5" w:rsidR="004E0B0C" w:rsidRPr="008919F9" w:rsidRDefault="004E0B0C" w:rsidP="004E0B0C">
      <w:pPr>
        <w:pStyle w:val="Title"/>
      </w:pPr>
      <w:r w:rsidRPr="008919F9">
        <w:t>A randomised, double-blind</w:t>
      </w:r>
      <w:r w:rsidR="00420200">
        <w:t>,</w:t>
      </w:r>
      <w:r w:rsidRPr="008919F9">
        <w:t xml:space="preserve"> </w:t>
      </w:r>
      <w:r w:rsidR="0071304F" w:rsidRPr="008919F9">
        <w:t>P</w:t>
      </w:r>
      <w:r w:rsidRPr="008919F9">
        <w:t>hase III study comparing the infliximab biosimilar</w:t>
      </w:r>
      <w:r w:rsidR="0071304F" w:rsidRPr="008919F9">
        <w:t>,</w:t>
      </w:r>
      <w:r w:rsidRPr="008919F9">
        <w:t xml:space="preserve"> PF-06438179/GP1111</w:t>
      </w:r>
      <w:r w:rsidR="0071304F" w:rsidRPr="008919F9">
        <w:t>,</w:t>
      </w:r>
      <w:r w:rsidRPr="008919F9">
        <w:t xml:space="preserve"> with reference infliximab: Efficacy, safety and immunogenicity from Week 30 to Week 54</w:t>
      </w:r>
    </w:p>
    <w:p w14:paraId="72FB7E47" w14:textId="4E342AA2" w:rsidR="004E0B0C" w:rsidRPr="008919F9" w:rsidRDefault="004E0B0C" w:rsidP="004E0B0C">
      <w:r w:rsidRPr="008919F9">
        <w:t>Rieke Alten,</w:t>
      </w:r>
      <w:r w:rsidRPr="008919F9">
        <w:rPr>
          <w:vertAlign w:val="superscript"/>
        </w:rPr>
        <w:t>1</w:t>
      </w:r>
      <w:r w:rsidRPr="008919F9">
        <w:t xml:space="preserve"> Bogdan Batko,</w:t>
      </w:r>
      <w:r w:rsidRPr="008919F9">
        <w:rPr>
          <w:vertAlign w:val="superscript"/>
        </w:rPr>
        <w:t>2</w:t>
      </w:r>
      <w:r w:rsidRPr="008919F9">
        <w:t xml:space="preserve"> Tomas Hala,</w:t>
      </w:r>
      <w:r w:rsidRPr="008919F9">
        <w:rPr>
          <w:vertAlign w:val="superscript"/>
        </w:rPr>
        <w:t>3</w:t>
      </w:r>
      <w:r w:rsidRPr="008919F9">
        <w:t xml:space="preserve"> </w:t>
      </w:r>
      <w:proofErr w:type="spellStart"/>
      <w:r w:rsidRPr="008919F9">
        <w:t>Hideto</w:t>
      </w:r>
      <w:proofErr w:type="spellEnd"/>
      <w:r w:rsidRPr="008919F9">
        <w:t xml:space="preserve"> Kameda,</w:t>
      </w:r>
      <w:r w:rsidRPr="008919F9">
        <w:rPr>
          <w:vertAlign w:val="superscript"/>
        </w:rPr>
        <w:t>4</w:t>
      </w:r>
      <w:r w:rsidRPr="008919F9">
        <w:t xml:space="preserve"> </w:t>
      </w:r>
      <w:proofErr w:type="spellStart"/>
      <w:r w:rsidRPr="008919F9">
        <w:t>Sebastia</w:t>
      </w:r>
      <w:r w:rsidR="00DA2E2C" w:rsidRPr="008919F9">
        <w:t>o</w:t>
      </w:r>
      <w:proofErr w:type="spellEnd"/>
      <w:r w:rsidR="00DA2E2C" w:rsidRPr="008919F9">
        <w:t xml:space="preserve"> C.</w:t>
      </w:r>
      <w:r w:rsidRPr="008919F9">
        <w:t xml:space="preserve"> Radominski,</w:t>
      </w:r>
      <w:r w:rsidRPr="008919F9">
        <w:rPr>
          <w:vertAlign w:val="superscript"/>
        </w:rPr>
        <w:t>5</w:t>
      </w:r>
      <w:r w:rsidRPr="008919F9">
        <w:t xml:space="preserve"> Vira Tseluyko,</w:t>
      </w:r>
      <w:r w:rsidRPr="008919F9">
        <w:rPr>
          <w:vertAlign w:val="superscript"/>
        </w:rPr>
        <w:t>6</w:t>
      </w:r>
      <w:r w:rsidRPr="008919F9">
        <w:t xml:space="preserve"> Goran Babic,</w:t>
      </w:r>
      <w:r w:rsidRPr="008919F9">
        <w:rPr>
          <w:vertAlign w:val="superscript"/>
        </w:rPr>
        <w:t>7</w:t>
      </w:r>
      <w:r w:rsidRPr="008919F9">
        <w:t xml:space="preserve"> Carol Cronenberger,</w:t>
      </w:r>
      <w:r w:rsidRPr="008919F9">
        <w:rPr>
          <w:vertAlign w:val="superscript"/>
        </w:rPr>
        <w:t>8</w:t>
      </w:r>
      <w:r w:rsidRPr="008919F9">
        <w:t xml:space="preserve"> Sarah Hackley,</w:t>
      </w:r>
      <w:r w:rsidRPr="008919F9">
        <w:rPr>
          <w:vertAlign w:val="superscript"/>
        </w:rPr>
        <w:t>9</w:t>
      </w:r>
      <w:r w:rsidRPr="008919F9">
        <w:t xml:space="preserve"> Muhammad Rehman,</w:t>
      </w:r>
      <w:r w:rsidRPr="008919F9">
        <w:rPr>
          <w:vertAlign w:val="superscript"/>
        </w:rPr>
        <w:t>10</w:t>
      </w:r>
      <w:r w:rsidRPr="008919F9">
        <w:t xml:space="preserve"> Oliver von Richter,</w:t>
      </w:r>
      <w:r w:rsidRPr="008919F9">
        <w:rPr>
          <w:vertAlign w:val="superscript"/>
        </w:rPr>
        <w:t>7</w:t>
      </w:r>
      <w:r w:rsidRPr="008919F9">
        <w:t xml:space="preserve"> Min Zhang,</w:t>
      </w:r>
      <w:r w:rsidRPr="008919F9">
        <w:rPr>
          <w:vertAlign w:val="superscript"/>
        </w:rPr>
        <w:t>11</w:t>
      </w:r>
      <w:r w:rsidRPr="008919F9">
        <w:t xml:space="preserve"> and Stanley Cohen</w:t>
      </w:r>
      <w:r w:rsidRPr="008919F9">
        <w:rPr>
          <w:vertAlign w:val="superscript"/>
        </w:rPr>
        <w:t>12</w:t>
      </w:r>
    </w:p>
    <w:p w14:paraId="3203C322" w14:textId="77777777" w:rsidR="004E0B0C" w:rsidRPr="008919F9" w:rsidRDefault="004E0B0C" w:rsidP="00FB1B46"/>
    <w:p w14:paraId="7B4F8D8A" w14:textId="0084C084" w:rsidR="004E0B0C" w:rsidRPr="008919F9" w:rsidRDefault="004E0B0C" w:rsidP="001923E1">
      <w:pPr>
        <w:pStyle w:val="Heading1"/>
      </w:pPr>
      <w:r w:rsidRPr="008919F9">
        <w:t>SUPPLEMENTARY MATERIAL</w:t>
      </w:r>
    </w:p>
    <w:p w14:paraId="4DB441EB" w14:textId="77777777" w:rsidR="004B37CA" w:rsidRDefault="004B37CA">
      <w:pPr>
        <w:spacing w:line="259" w:lineRule="auto"/>
        <w:rPr>
          <w:b/>
          <w:sz w:val="24"/>
        </w:rPr>
      </w:pPr>
      <w:r>
        <w:rPr>
          <w:b/>
          <w:sz w:val="24"/>
        </w:rPr>
        <w:br w:type="page"/>
      </w:r>
    </w:p>
    <w:p w14:paraId="1AE950DD" w14:textId="6689C0BF" w:rsidR="00D924A7" w:rsidRPr="004B37CA" w:rsidRDefault="00D924A7" w:rsidP="004B37CA">
      <w:pPr>
        <w:keepNext/>
        <w:rPr>
          <w:b/>
          <w:sz w:val="24"/>
        </w:rPr>
      </w:pPr>
      <w:r w:rsidRPr="004B37CA">
        <w:rPr>
          <w:b/>
          <w:sz w:val="24"/>
        </w:rPr>
        <w:lastRenderedPageBreak/>
        <w:t xml:space="preserve">Adverse events leading to treatment discontinuation excluded by programming </w:t>
      </w:r>
      <w:r w:rsidR="008919F9" w:rsidRPr="004B37CA">
        <w:rPr>
          <w:b/>
          <w:sz w:val="24"/>
        </w:rPr>
        <w:t>cut-off</w:t>
      </w:r>
    </w:p>
    <w:p w14:paraId="7FDA41B8" w14:textId="6718E2B4" w:rsidR="004E0B0C" w:rsidRPr="008919F9" w:rsidRDefault="00D924A7" w:rsidP="004B37CA">
      <w:pPr>
        <w:rPr>
          <w:b/>
        </w:rPr>
      </w:pPr>
      <w:r w:rsidRPr="004B37CA">
        <w:t xml:space="preserve">Two </w:t>
      </w:r>
      <w:r w:rsidR="00086F42" w:rsidRPr="004B37CA">
        <w:t xml:space="preserve">patients </w:t>
      </w:r>
      <w:r w:rsidRPr="004B37CA">
        <w:t xml:space="preserve">in the </w:t>
      </w:r>
      <w:r w:rsidR="00E8168D">
        <w:t>PF-SZ-IFX</w:t>
      </w:r>
      <w:r w:rsidR="00086F42" w:rsidRPr="004B37CA">
        <w:t>/</w:t>
      </w:r>
      <w:r w:rsidR="00E8168D">
        <w:t>PF-SZ-IFX</w:t>
      </w:r>
      <w:r w:rsidR="00086F42" w:rsidRPr="004B37CA">
        <w:t xml:space="preserve"> group were diagnosed with latent </w:t>
      </w:r>
      <w:r w:rsidR="002D1926" w:rsidRPr="004B37CA">
        <w:t>tuberculosis</w:t>
      </w:r>
      <w:r w:rsidR="00086F42" w:rsidRPr="004B37CA">
        <w:t xml:space="preserve"> after the Week 54 programming cut-off and were thus excluded from the </w:t>
      </w:r>
      <w:r w:rsidR="002D1926" w:rsidRPr="004B37CA">
        <w:t>Treatment Period 2 (TP2)</w:t>
      </w:r>
      <w:r w:rsidR="00086F42" w:rsidRPr="004B37CA">
        <w:t xml:space="preserve"> safety analyses. Both cases were Grade</w:t>
      </w:r>
      <w:r w:rsidR="002D1926" w:rsidRPr="004B37CA">
        <w:t xml:space="preserve"> </w:t>
      </w:r>
      <w:r w:rsidR="00086F42" w:rsidRPr="004B37CA">
        <w:t xml:space="preserve">2 and </w:t>
      </w:r>
      <w:r w:rsidR="002D1926" w:rsidRPr="004B37CA">
        <w:t xml:space="preserve">were </w:t>
      </w:r>
      <w:r w:rsidR="00086F42" w:rsidRPr="004B37CA">
        <w:t>considered non-serious by the investigator</w:t>
      </w:r>
      <w:r w:rsidR="00691185" w:rsidRPr="004B37CA">
        <w:t xml:space="preserve">; </w:t>
      </w:r>
      <w:r w:rsidR="00086F42" w:rsidRPr="004B37CA">
        <w:t>one case</w:t>
      </w:r>
      <w:r w:rsidR="00691185" w:rsidRPr="004B37CA">
        <w:t xml:space="preserve"> was considered</w:t>
      </w:r>
      <w:r w:rsidR="002D1926" w:rsidRPr="004B37CA">
        <w:t xml:space="preserve"> to be</w:t>
      </w:r>
      <w:r w:rsidR="00086F42" w:rsidRPr="004B37CA">
        <w:t xml:space="preserve"> related to study drug and one case</w:t>
      </w:r>
      <w:r w:rsidR="002D1926" w:rsidRPr="004B37CA">
        <w:t xml:space="preserve"> to be</w:t>
      </w:r>
      <w:r w:rsidR="00086F42" w:rsidRPr="004B37CA">
        <w:t xml:space="preserve"> unrelated to study</w:t>
      </w:r>
      <w:r w:rsidR="002D1926" w:rsidRPr="004B37CA">
        <w:t xml:space="preserve"> drug</w:t>
      </w:r>
      <w:r w:rsidR="00086F42" w:rsidRPr="004B37CA">
        <w:t xml:space="preserve">. In both patients the study drug was discontinued permanently and no treatment for latent </w:t>
      </w:r>
      <w:r w:rsidR="00FD707C">
        <w:t>tuberculosis</w:t>
      </w:r>
      <w:r w:rsidR="00FD707C" w:rsidRPr="004B37CA">
        <w:t xml:space="preserve"> </w:t>
      </w:r>
      <w:r w:rsidR="00086F42" w:rsidRPr="004B37CA">
        <w:t xml:space="preserve">was recorded prior to </w:t>
      </w:r>
      <w:r w:rsidR="002D1926" w:rsidRPr="004B37CA">
        <w:t>TP2</w:t>
      </w:r>
      <w:r w:rsidR="00086F42" w:rsidRPr="004B37CA">
        <w:t xml:space="preserve"> database lock; however, both patients received isoniazid.</w:t>
      </w:r>
      <w:r w:rsidR="004E0B0C" w:rsidRPr="008919F9">
        <w:rPr>
          <w:b/>
        </w:rPr>
        <w:br w:type="page"/>
      </w:r>
    </w:p>
    <w:p w14:paraId="5E46796F" w14:textId="40BE0788" w:rsidR="004E0B0C" w:rsidRPr="001923E1" w:rsidRDefault="004E0B0C" w:rsidP="004E0B0C">
      <w:pPr>
        <w:keepNext/>
        <w:rPr>
          <w:b/>
        </w:rPr>
      </w:pPr>
      <w:r w:rsidRPr="001923E1">
        <w:rPr>
          <w:b/>
        </w:rPr>
        <w:lastRenderedPageBreak/>
        <w:t xml:space="preserve">Table S1 </w:t>
      </w:r>
      <w:r w:rsidRPr="001923E1">
        <w:t>Secondary efficacy endpoints at Weeks 30 and 54 (TP2 ITT population)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86"/>
        <w:gridCol w:w="2354"/>
        <w:gridCol w:w="2354"/>
        <w:gridCol w:w="2354"/>
      </w:tblGrid>
      <w:tr w:rsidR="004E0B0C" w:rsidRPr="008919F9" w14:paraId="1F129311" w14:textId="77777777" w:rsidTr="000F6AE5">
        <w:trPr>
          <w:trHeight w:val="585"/>
        </w:trPr>
        <w:tc>
          <w:tcPr>
            <w:tcW w:w="1097" w:type="pct"/>
            <w:tcBorders>
              <w:top w:val="nil"/>
              <w:left w:val="nil"/>
              <w:bottom w:val="single" w:sz="12" w:space="0" w:color="0460A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AD90EF" w14:textId="77777777" w:rsidR="004E0B0C" w:rsidRPr="008919F9" w:rsidRDefault="004E0B0C" w:rsidP="000F6AE5">
            <w:pPr>
              <w:rPr>
                <w:b/>
                <w:sz w:val="24"/>
              </w:rPr>
            </w:pPr>
          </w:p>
        </w:tc>
        <w:tc>
          <w:tcPr>
            <w:tcW w:w="1301" w:type="pct"/>
            <w:tcBorders>
              <w:top w:val="nil"/>
              <w:left w:val="nil"/>
              <w:bottom w:val="single" w:sz="12" w:space="0" w:color="0460A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9DF319" w14:textId="4C2B3316" w:rsidR="004E0B0C" w:rsidRPr="008919F9" w:rsidRDefault="00E8168D" w:rsidP="000F6AE5">
            <w:pPr>
              <w:spacing w:before="40" w:after="40" w:line="240" w:lineRule="auto"/>
              <w:jc w:val="center"/>
            </w:pPr>
            <w:r>
              <w:rPr>
                <w:b/>
                <w:bCs/>
              </w:rPr>
              <w:t>PF-SZ-IFX</w:t>
            </w:r>
            <w:r w:rsidR="004E0B0C" w:rsidRPr="008919F9"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PF-SZ-IFX</w:t>
            </w:r>
          </w:p>
          <w:p w14:paraId="1F83CA7E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rPr>
                <w:b/>
                <w:bCs/>
              </w:rPr>
              <w:t>(N=280)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12" w:space="0" w:color="0460A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DFC1765" w14:textId="3053C050" w:rsidR="004E0B0C" w:rsidRPr="008919F9" w:rsidRDefault="00E8168D" w:rsidP="000F6AE5">
            <w:pPr>
              <w:spacing w:before="40" w:after="40" w:line="240" w:lineRule="auto"/>
              <w:jc w:val="center"/>
            </w:pPr>
            <w:r>
              <w:rPr>
                <w:b/>
                <w:bCs/>
              </w:rPr>
              <w:t>Ref-IFX</w:t>
            </w:r>
            <w:r w:rsidR="004E0B0C" w:rsidRPr="008919F9"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Ref-IFX</w:t>
            </w:r>
          </w:p>
          <w:p w14:paraId="6B1A4C70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rPr>
                <w:b/>
                <w:bCs/>
              </w:rPr>
              <w:t>(N=143)</w:t>
            </w:r>
          </w:p>
        </w:tc>
        <w:tc>
          <w:tcPr>
            <w:tcW w:w="1301" w:type="pct"/>
            <w:tcBorders>
              <w:top w:val="nil"/>
              <w:left w:val="nil"/>
              <w:bottom w:val="single" w:sz="12" w:space="0" w:color="0460A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F36137" w14:textId="6FE6787A" w:rsidR="004E0B0C" w:rsidRPr="008919F9" w:rsidRDefault="00E8168D" w:rsidP="000F6AE5">
            <w:pPr>
              <w:spacing w:before="40" w:after="4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Ref-IFX</w:t>
            </w:r>
            <w:r w:rsidR="004E0B0C" w:rsidRPr="008919F9">
              <w:rPr>
                <w:b/>
                <w:bCs/>
              </w:rPr>
              <w:t>/</w:t>
            </w:r>
            <w:r>
              <w:rPr>
                <w:b/>
                <w:bCs/>
              </w:rPr>
              <w:br/>
              <w:t>PF-SZ-IFX</w:t>
            </w:r>
          </w:p>
          <w:p w14:paraId="15E576FD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rPr>
                <w:b/>
                <w:bCs/>
              </w:rPr>
              <w:t>(N=143)</w:t>
            </w:r>
          </w:p>
        </w:tc>
      </w:tr>
      <w:tr w:rsidR="004E0B0C" w:rsidRPr="008919F9" w14:paraId="7D373A0D" w14:textId="77777777" w:rsidTr="000F6AE5">
        <w:trPr>
          <w:trHeight w:val="246"/>
        </w:trPr>
        <w:tc>
          <w:tcPr>
            <w:tcW w:w="5000" w:type="pct"/>
            <w:gridSpan w:val="4"/>
            <w:tcBorders>
              <w:top w:val="single" w:sz="12" w:space="0" w:color="0460A9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A0ADC6" w14:textId="77777777" w:rsidR="004E0B0C" w:rsidRPr="008919F9" w:rsidRDefault="004E0B0C" w:rsidP="000F6AE5">
            <w:pPr>
              <w:spacing w:before="40" w:after="40" w:line="240" w:lineRule="auto"/>
            </w:pPr>
            <w:r w:rsidRPr="008919F9">
              <w:t>Patients with good/moderate/none EULAR response (%)</w:t>
            </w:r>
          </w:p>
        </w:tc>
      </w:tr>
      <w:tr w:rsidR="004E0B0C" w:rsidRPr="008919F9" w14:paraId="05D07834" w14:textId="77777777" w:rsidTr="000F6AE5">
        <w:trPr>
          <w:trHeight w:val="53"/>
        </w:trPr>
        <w:tc>
          <w:tcPr>
            <w:tcW w:w="109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BAFC9C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30</w:t>
            </w:r>
          </w:p>
          <w:p w14:paraId="0279B821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54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997A18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35.7 / 46.1 / 18.2</w:t>
            </w:r>
          </w:p>
          <w:p w14:paraId="24EDB5BA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42.1 / 38.9 / 10.4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61643B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32.9 / 54.6 / 12.6</w:t>
            </w:r>
          </w:p>
          <w:p w14:paraId="094F061A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37.1 / 39.2 / 14.0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A9BEAE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32.9 / 51.1 / 15.4</w:t>
            </w:r>
          </w:p>
          <w:p w14:paraId="0604EBA3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35.0 / 43.4 / 11.2</w:t>
            </w:r>
          </w:p>
        </w:tc>
      </w:tr>
      <w:tr w:rsidR="004E0B0C" w:rsidRPr="008919F9" w14:paraId="7B5C1EC7" w14:textId="77777777" w:rsidTr="000F6AE5">
        <w:trPr>
          <w:trHeight w:val="203"/>
        </w:trPr>
        <w:tc>
          <w:tcPr>
            <w:tcW w:w="5000" w:type="pct"/>
            <w:gridSpan w:val="4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A007E8" w14:textId="5533B4B6" w:rsidR="004E0B0C" w:rsidRPr="008919F9" w:rsidRDefault="004E0B0C" w:rsidP="000F6AE5">
            <w:pPr>
              <w:spacing w:before="40" w:after="40" w:line="240" w:lineRule="auto"/>
            </w:pPr>
            <w:r w:rsidRPr="008919F9">
              <w:t>Patients achieving DAS</w:t>
            </w:r>
            <w:r w:rsidR="005A140B" w:rsidRPr="008919F9">
              <w:t>28-CRP</w:t>
            </w:r>
            <w:r w:rsidRPr="008919F9">
              <w:t xml:space="preserve"> remission* (%)</w:t>
            </w:r>
          </w:p>
        </w:tc>
      </w:tr>
      <w:tr w:rsidR="004E0B0C" w:rsidRPr="008919F9" w14:paraId="50A19748" w14:textId="77777777" w:rsidTr="000F6AE5">
        <w:trPr>
          <w:trHeight w:val="37"/>
        </w:trPr>
        <w:tc>
          <w:tcPr>
            <w:tcW w:w="109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15ADC9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30</w:t>
            </w:r>
          </w:p>
          <w:p w14:paraId="12B8A44E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54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840539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22.5</w:t>
            </w:r>
          </w:p>
          <w:p w14:paraId="73C94115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28.2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D2B99E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20.3</w:t>
            </w:r>
          </w:p>
          <w:p w14:paraId="5127A6F5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23.1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3CE68F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17.5</w:t>
            </w:r>
          </w:p>
          <w:p w14:paraId="3065E8D2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20.3</w:t>
            </w:r>
          </w:p>
        </w:tc>
      </w:tr>
      <w:tr w:rsidR="004E0B0C" w:rsidRPr="008919F9" w14:paraId="38AC35F1" w14:textId="77777777" w:rsidTr="000F6AE5">
        <w:trPr>
          <w:trHeight w:val="37"/>
        </w:trPr>
        <w:tc>
          <w:tcPr>
            <w:tcW w:w="5000" w:type="pct"/>
            <w:gridSpan w:val="4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2357A93" w14:textId="77777777" w:rsidR="004E0B0C" w:rsidRPr="008919F9" w:rsidRDefault="004E0B0C" w:rsidP="000F6AE5">
            <w:pPr>
              <w:spacing w:before="40" w:after="40" w:line="240" w:lineRule="auto"/>
            </w:pPr>
            <w:r w:rsidRPr="008919F9">
              <w:t>Patients achieving ACR/EULAR remission</w:t>
            </w:r>
            <w:r w:rsidRPr="008919F9">
              <w:rPr>
                <w:vertAlign w:val="superscript"/>
              </w:rPr>
              <w:t xml:space="preserve">† </w:t>
            </w:r>
            <w:r w:rsidRPr="008919F9">
              <w:t>(%)</w:t>
            </w:r>
          </w:p>
        </w:tc>
      </w:tr>
      <w:tr w:rsidR="004E0B0C" w:rsidRPr="008919F9" w14:paraId="1A514B37" w14:textId="77777777" w:rsidTr="000F6AE5">
        <w:trPr>
          <w:trHeight w:val="211"/>
        </w:trPr>
        <w:tc>
          <w:tcPr>
            <w:tcW w:w="109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9E1E8A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30</w:t>
            </w:r>
          </w:p>
          <w:p w14:paraId="6A06729D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54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7F31D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10.7</w:t>
            </w:r>
          </w:p>
          <w:p w14:paraId="72E65F99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15.0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EE560A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10.5</w:t>
            </w:r>
          </w:p>
          <w:p w14:paraId="74676F02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12.6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A9477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5.6</w:t>
            </w:r>
          </w:p>
          <w:p w14:paraId="79BE7311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9.1</w:t>
            </w:r>
          </w:p>
        </w:tc>
      </w:tr>
      <w:tr w:rsidR="004E0B0C" w:rsidRPr="008919F9" w14:paraId="30A74AB2" w14:textId="77777777" w:rsidTr="000F6AE5">
        <w:trPr>
          <w:trHeight w:val="123"/>
        </w:trPr>
        <w:tc>
          <w:tcPr>
            <w:tcW w:w="5000" w:type="pct"/>
            <w:gridSpan w:val="4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F3028" w14:textId="77777777" w:rsidR="004E0B0C" w:rsidRPr="008919F9" w:rsidRDefault="004E0B0C" w:rsidP="000F6AE5">
            <w:pPr>
              <w:spacing w:before="40" w:after="40" w:line="240" w:lineRule="auto"/>
            </w:pPr>
            <w:r w:rsidRPr="008919F9">
              <w:t>Mean change from baseline in swollen joint counts</w:t>
            </w:r>
          </w:p>
        </w:tc>
      </w:tr>
      <w:tr w:rsidR="004E0B0C" w:rsidRPr="008919F9" w14:paraId="31F9848A" w14:textId="77777777" w:rsidTr="000F6AE5">
        <w:trPr>
          <w:trHeight w:val="37"/>
        </w:trPr>
        <w:tc>
          <w:tcPr>
            <w:tcW w:w="109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E9522D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30</w:t>
            </w:r>
          </w:p>
          <w:p w14:paraId="3E025513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54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8693BD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–11.3</w:t>
            </w:r>
          </w:p>
          <w:p w14:paraId="17DEB1B3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–12.7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53D334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–10.3</w:t>
            </w:r>
          </w:p>
          <w:p w14:paraId="0BDA4E0E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–11.0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F13298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–11.8</w:t>
            </w:r>
          </w:p>
          <w:p w14:paraId="502EE44F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–13.1</w:t>
            </w:r>
          </w:p>
        </w:tc>
      </w:tr>
      <w:tr w:rsidR="004E0B0C" w:rsidRPr="008919F9" w14:paraId="5E8D7F39" w14:textId="77777777" w:rsidTr="000F6AE5">
        <w:trPr>
          <w:trHeight w:val="37"/>
        </w:trPr>
        <w:tc>
          <w:tcPr>
            <w:tcW w:w="5000" w:type="pct"/>
            <w:gridSpan w:val="4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5E73CE" w14:textId="77777777" w:rsidR="004E0B0C" w:rsidRPr="008919F9" w:rsidRDefault="004E0B0C" w:rsidP="000F6AE5">
            <w:pPr>
              <w:spacing w:before="40" w:after="40" w:line="240" w:lineRule="auto"/>
            </w:pPr>
            <w:r w:rsidRPr="008919F9">
              <w:t>Mean change from baseline in tender joint counts</w:t>
            </w:r>
          </w:p>
        </w:tc>
      </w:tr>
      <w:tr w:rsidR="004E0B0C" w:rsidRPr="008919F9" w14:paraId="51630830" w14:textId="77777777" w:rsidTr="000F6AE5">
        <w:trPr>
          <w:trHeight w:val="91"/>
        </w:trPr>
        <w:tc>
          <w:tcPr>
            <w:tcW w:w="109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56A24B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30</w:t>
            </w:r>
          </w:p>
          <w:p w14:paraId="179D095D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54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7D00D5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–14.8</w:t>
            </w:r>
          </w:p>
          <w:p w14:paraId="1C95F998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–16.8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950CC4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–15.0</w:t>
            </w:r>
          </w:p>
          <w:p w14:paraId="31179F29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–16.7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41A735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–16.8</w:t>
            </w:r>
          </w:p>
          <w:p w14:paraId="5BB888C0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–18.2</w:t>
            </w:r>
          </w:p>
        </w:tc>
      </w:tr>
      <w:tr w:rsidR="004E0B0C" w:rsidRPr="008919F9" w14:paraId="680C4C8E" w14:textId="77777777" w:rsidTr="000F6AE5">
        <w:trPr>
          <w:trHeight w:val="145"/>
        </w:trPr>
        <w:tc>
          <w:tcPr>
            <w:tcW w:w="5000" w:type="pct"/>
            <w:gridSpan w:val="4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3DFC7E" w14:textId="77777777" w:rsidR="004E0B0C" w:rsidRPr="008919F9" w:rsidRDefault="004E0B0C" w:rsidP="000F6AE5">
            <w:pPr>
              <w:spacing w:before="40" w:after="40" w:line="240" w:lineRule="auto"/>
            </w:pPr>
            <w:r w:rsidRPr="008919F9">
              <w:t>Mean change from baseline in hs-CRP, mg/L</w:t>
            </w:r>
          </w:p>
        </w:tc>
      </w:tr>
      <w:tr w:rsidR="004E0B0C" w:rsidRPr="008919F9" w14:paraId="43CC3BCA" w14:textId="77777777" w:rsidTr="000F6AE5">
        <w:trPr>
          <w:trHeight w:val="23"/>
        </w:trPr>
        <w:tc>
          <w:tcPr>
            <w:tcW w:w="109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E1DB2C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30</w:t>
            </w:r>
          </w:p>
          <w:p w14:paraId="05A1FCEE" w14:textId="77777777" w:rsidR="004E0B0C" w:rsidRPr="008919F9" w:rsidRDefault="004E0B0C" w:rsidP="000F6AE5">
            <w:pPr>
              <w:spacing w:before="40" w:after="40" w:line="240" w:lineRule="auto"/>
              <w:ind w:left="276"/>
            </w:pPr>
            <w:r w:rsidRPr="008919F9">
              <w:t>Week 54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70F70D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–12.7</w:t>
            </w:r>
          </w:p>
          <w:p w14:paraId="32C2773A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–12.2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4CD2D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–10.2</w:t>
            </w:r>
          </w:p>
          <w:p w14:paraId="5B2020C5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–6.9</w:t>
            </w:r>
          </w:p>
        </w:tc>
        <w:tc>
          <w:tcPr>
            <w:tcW w:w="1301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61535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–16.0</w:t>
            </w:r>
          </w:p>
          <w:p w14:paraId="6AB884D1" w14:textId="77777777" w:rsidR="004E0B0C" w:rsidRPr="008919F9" w:rsidRDefault="004E0B0C" w:rsidP="000F6AE5">
            <w:pPr>
              <w:spacing w:before="40" w:after="40" w:line="240" w:lineRule="auto"/>
              <w:jc w:val="center"/>
            </w:pPr>
            <w:r w:rsidRPr="008919F9">
              <w:t>–15.2</w:t>
            </w:r>
          </w:p>
        </w:tc>
      </w:tr>
    </w:tbl>
    <w:p w14:paraId="0D1E8383" w14:textId="3BA88ED2" w:rsidR="004E0B0C" w:rsidRPr="008919F9" w:rsidRDefault="004E0B0C" w:rsidP="004E0B0C">
      <w:pPr>
        <w:spacing w:line="276" w:lineRule="auto"/>
        <w:rPr>
          <w:sz w:val="18"/>
        </w:rPr>
      </w:pPr>
      <w:r w:rsidRPr="008919F9">
        <w:rPr>
          <w:sz w:val="18"/>
        </w:rPr>
        <w:t>*DAS</w:t>
      </w:r>
      <w:r w:rsidR="005A140B" w:rsidRPr="008919F9">
        <w:rPr>
          <w:sz w:val="18"/>
        </w:rPr>
        <w:t>28-CRP</w:t>
      </w:r>
      <w:r w:rsidRPr="008919F9">
        <w:rPr>
          <w:sz w:val="18"/>
        </w:rPr>
        <w:t xml:space="preserve"> remission defined as DAS28</w:t>
      </w:r>
      <w:r w:rsidR="005A140B" w:rsidRPr="008919F9">
        <w:rPr>
          <w:sz w:val="18"/>
        </w:rPr>
        <w:t>-CRP</w:t>
      </w:r>
      <w:r w:rsidRPr="008919F9">
        <w:rPr>
          <w:sz w:val="18"/>
        </w:rPr>
        <w:t xml:space="preserve"> score &lt;2.6.</w:t>
      </w:r>
      <w:r w:rsidRPr="008919F9">
        <w:rPr>
          <w:sz w:val="18"/>
        </w:rPr>
        <w:br/>
      </w:r>
      <w:r w:rsidRPr="008919F9">
        <w:rPr>
          <w:sz w:val="18"/>
          <w:vertAlign w:val="superscript"/>
        </w:rPr>
        <w:t>†</w:t>
      </w:r>
      <w:r w:rsidRPr="008919F9">
        <w:rPr>
          <w:sz w:val="18"/>
        </w:rPr>
        <w:t>Patients were considered to be in ACR/EULAR remission when scores on the tender joint count, swollen joint count, hs-CRP (mg/dL) and patient global assessment (0</w:t>
      </w:r>
      <w:r w:rsidR="006D00E8">
        <w:rPr>
          <w:sz w:val="18"/>
        </w:rPr>
        <w:t>–</w:t>
      </w:r>
      <w:r w:rsidRPr="008919F9">
        <w:rPr>
          <w:sz w:val="18"/>
        </w:rPr>
        <w:t>10 scale) were all ≤1 (Boolean definition) or the simplified disease activity score was ≤3.3.</w:t>
      </w:r>
      <w:r w:rsidRPr="008919F9">
        <w:rPr>
          <w:sz w:val="18"/>
        </w:rPr>
        <w:br/>
        <w:t>ACR, American College of Rheumatology; DAS2</w:t>
      </w:r>
      <w:r w:rsidR="005A140B" w:rsidRPr="008919F9">
        <w:rPr>
          <w:sz w:val="18"/>
        </w:rPr>
        <w:t>8-CRP</w:t>
      </w:r>
      <w:r w:rsidRPr="008919F9">
        <w:rPr>
          <w:sz w:val="18"/>
        </w:rPr>
        <w:t xml:space="preserve">, </w:t>
      </w:r>
      <w:r w:rsidRPr="008919F9">
        <w:rPr>
          <w:sz w:val="18"/>
          <w:szCs w:val="18"/>
        </w:rPr>
        <w:t xml:space="preserve">disease activity score in 28 joints based on high-sensitivity C-reactive protein; </w:t>
      </w:r>
      <w:r w:rsidRPr="008919F9">
        <w:rPr>
          <w:sz w:val="18"/>
        </w:rPr>
        <w:t xml:space="preserve">EULAR, European League Against Rheumatism; hs-CRP, high sensitivity C-reactive protein; </w:t>
      </w:r>
      <w:r w:rsidR="00E8168D">
        <w:rPr>
          <w:sz w:val="18"/>
          <w:szCs w:val="18"/>
        </w:rPr>
        <w:t>ref-IFX</w:t>
      </w:r>
      <w:r w:rsidRPr="008919F9">
        <w:rPr>
          <w:sz w:val="18"/>
          <w:szCs w:val="18"/>
        </w:rPr>
        <w:t xml:space="preserve">, European reference infliximab; ITT, intent-to-treat; </w:t>
      </w:r>
      <w:r w:rsidR="00E8168D">
        <w:rPr>
          <w:sz w:val="18"/>
          <w:szCs w:val="18"/>
        </w:rPr>
        <w:t>PF-SZ-IFX</w:t>
      </w:r>
      <w:r w:rsidRPr="008919F9">
        <w:rPr>
          <w:sz w:val="18"/>
          <w:szCs w:val="18"/>
        </w:rPr>
        <w:t>, PF</w:t>
      </w:r>
      <w:r w:rsidRPr="008919F9">
        <w:rPr>
          <w:sz w:val="18"/>
          <w:szCs w:val="18"/>
        </w:rPr>
        <w:noBreakHyphen/>
        <w:t xml:space="preserve">06438179/GP1111; TP2, </w:t>
      </w:r>
      <w:r w:rsidR="002E0CAE" w:rsidRPr="008919F9">
        <w:rPr>
          <w:sz w:val="18"/>
          <w:szCs w:val="18"/>
        </w:rPr>
        <w:t>T</w:t>
      </w:r>
      <w:r w:rsidRPr="008919F9">
        <w:rPr>
          <w:sz w:val="18"/>
          <w:szCs w:val="18"/>
        </w:rPr>
        <w:t xml:space="preserve">reatment </w:t>
      </w:r>
      <w:r w:rsidR="002E0CAE" w:rsidRPr="008919F9">
        <w:rPr>
          <w:sz w:val="18"/>
          <w:szCs w:val="18"/>
        </w:rPr>
        <w:t>P</w:t>
      </w:r>
      <w:r w:rsidRPr="008919F9">
        <w:rPr>
          <w:sz w:val="18"/>
          <w:szCs w:val="18"/>
        </w:rPr>
        <w:t>eriod 2.</w:t>
      </w:r>
    </w:p>
    <w:p w14:paraId="2AE76687" w14:textId="77777777" w:rsidR="004E0B0C" w:rsidRPr="008919F9" w:rsidRDefault="004E0B0C">
      <w:pPr>
        <w:spacing w:line="259" w:lineRule="auto"/>
        <w:rPr>
          <w:b/>
          <w:sz w:val="24"/>
        </w:rPr>
      </w:pPr>
      <w:r w:rsidRPr="008919F9">
        <w:rPr>
          <w:b/>
          <w:sz w:val="24"/>
        </w:rPr>
        <w:br w:type="page"/>
      </w:r>
    </w:p>
    <w:p w14:paraId="1288CAA2" w14:textId="77777777" w:rsidR="00846D4B" w:rsidRPr="008919F9" w:rsidRDefault="00846D4B" w:rsidP="004E0B0C">
      <w:pPr>
        <w:keepNext/>
        <w:rPr>
          <w:b/>
          <w:sz w:val="24"/>
        </w:rPr>
        <w:sectPr w:rsidR="00846D4B" w:rsidRPr="008919F9" w:rsidSect="0086608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40" w:right="1418" w:bottom="1440" w:left="1440" w:header="708" w:footer="708" w:gutter="0"/>
          <w:cols w:space="708"/>
          <w:docGrid w:linePitch="360"/>
        </w:sectPr>
      </w:pPr>
    </w:p>
    <w:p w14:paraId="78DD94A5" w14:textId="493D0362" w:rsidR="004E0B0C" w:rsidRPr="001923E1" w:rsidRDefault="004E0B0C" w:rsidP="004E0B0C">
      <w:pPr>
        <w:keepNext/>
        <w:rPr>
          <w:sz w:val="24"/>
        </w:rPr>
      </w:pPr>
      <w:r w:rsidRPr="00BB7C3F">
        <w:rPr>
          <w:b/>
          <w:sz w:val="24"/>
        </w:rPr>
        <w:lastRenderedPageBreak/>
        <w:t>Table S</w:t>
      </w:r>
      <w:r w:rsidR="006D00E8" w:rsidRPr="00BB7C3F">
        <w:rPr>
          <w:b/>
          <w:sz w:val="24"/>
        </w:rPr>
        <w:t>2</w:t>
      </w:r>
      <w:r w:rsidRPr="001923E1">
        <w:rPr>
          <w:sz w:val="24"/>
        </w:rPr>
        <w:t xml:space="preserve"> </w:t>
      </w:r>
      <w:r w:rsidR="00A85BC6" w:rsidRPr="001923E1">
        <w:rPr>
          <w:sz w:val="24"/>
        </w:rPr>
        <w:t xml:space="preserve">Pre-dose </w:t>
      </w:r>
      <w:r w:rsidR="001F7E65" w:rsidRPr="00BB7C3F">
        <w:rPr>
          <w:sz w:val="24"/>
        </w:rPr>
        <w:t xml:space="preserve">trough serum drug concentration </w:t>
      </w:r>
      <w:r w:rsidRPr="001923E1">
        <w:rPr>
          <w:sz w:val="24"/>
        </w:rPr>
        <w:t xml:space="preserve">(ng/mL) </w:t>
      </w:r>
      <w:r w:rsidR="001F7E65" w:rsidRPr="00BB7C3F">
        <w:rPr>
          <w:sz w:val="24"/>
        </w:rPr>
        <w:t xml:space="preserve">versus time summary </w:t>
      </w:r>
      <w:r w:rsidR="000A0F00" w:rsidRPr="001923E1">
        <w:rPr>
          <w:sz w:val="24"/>
        </w:rPr>
        <w:t>(</w:t>
      </w:r>
      <w:r w:rsidRPr="001923E1">
        <w:rPr>
          <w:sz w:val="24"/>
        </w:rPr>
        <w:t xml:space="preserve">TP2 PK </w:t>
      </w:r>
      <w:r w:rsidR="001F7E65">
        <w:rPr>
          <w:sz w:val="24"/>
        </w:rPr>
        <w:t>p</w:t>
      </w:r>
      <w:r w:rsidRPr="001923E1">
        <w:rPr>
          <w:sz w:val="24"/>
        </w:rPr>
        <w:t>opulation</w:t>
      </w:r>
      <w:r w:rsidR="000A0F00" w:rsidRPr="001923E1">
        <w:rPr>
          <w:sz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75"/>
        <w:gridCol w:w="1409"/>
        <w:gridCol w:w="1410"/>
        <w:gridCol w:w="1410"/>
        <w:gridCol w:w="1410"/>
        <w:gridCol w:w="1410"/>
        <w:gridCol w:w="1410"/>
        <w:gridCol w:w="1410"/>
        <w:gridCol w:w="1410"/>
        <w:gridCol w:w="1404"/>
      </w:tblGrid>
      <w:tr w:rsidR="00846D4B" w:rsidRPr="008919F9" w14:paraId="56469FBC" w14:textId="69422B17" w:rsidTr="00A85BC6">
        <w:trPr>
          <w:trHeight w:val="292"/>
        </w:trPr>
        <w:tc>
          <w:tcPr>
            <w:tcW w:w="457" w:type="pct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B6F147" w14:textId="77777777" w:rsidR="00846D4B" w:rsidRPr="008919F9" w:rsidRDefault="00846D4B" w:rsidP="00A85BC6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1515" w:type="pct"/>
            <w:gridSpan w:val="3"/>
            <w:tcBorders>
              <w:top w:val="nil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6B3114" w14:textId="1C8B03DD" w:rsidR="00846D4B" w:rsidRPr="008919F9" w:rsidRDefault="00E8168D" w:rsidP="00A85BC6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PF-SZ-IFX</w:t>
            </w:r>
            <w:r w:rsidR="00846D4B" w:rsidRPr="008919F9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PF-SZ-IFX</w:t>
            </w:r>
          </w:p>
        </w:tc>
        <w:tc>
          <w:tcPr>
            <w:tcW w:w="1515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7E689E2C" w14:textId="54D7FFA5" w:rsidR="00846D4B" w:rsidRPr="008919F9" w:rsidRDefault="00E8168D" w:rsidP="00A85BC6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Ref-IFX</w:t>
            </w:r>
            <w:r w:rsidR="00846D4B" w:rsidRPr="008919F9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Ref-IFX</w:t>
            </w:r>
          </w:p>
        </w:tc>
        <w:tc>
          <w:tcPr>
            <w:tcW w:w="1513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2A7C0918" w14:textId="64A803DB" w:rsidR="00846D4B" w:rsidRPr="008919F9" w:rsidRDefault="00E8168D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Ref-IFX</w:t>
            </w:r>
            <w:r w:rsidR="00846D4B" w:rsidRPr="008919F9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PF-SZ-IFX</w:t>
            </w:r>
          </w:p>
        </w:tc>
      </w:tr>
      <w:tr w:rsidR="000A0F00" w:rsidRPr="008919F9" w14:paraId="5B06229F" w14:textId="77777777" w:rsidTr="00A85BC6">
        <w:trPr>
          <w:trHeight w:val="102"/>
        </w:trPr>
        <w:tc>
          <w:tcPr>
            <w:tcW w:w="457" w:type="pct"/>
            <w:tcBorders>
              <w:left w:val="nil"/>
              <w:bottom w:val="single" w:sz="12" w:space="0" w:color="0460A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11D9F1" w14:textId="77777777" w:rsidR="000A0F00" w:rsidRPr="008919F9" w:rsidRDefault="000A0F00" w:rsidP="00A85BC6">
            <w:pPr>
              <w:spacing w:line="240" w:lineRule="auto"/>
              <w:rPr>
                <w:b/>
                <w:sz w:val="18"/>
                <w:szCs w:val="20"/>
              </w:rPr>
            </w:pP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AFCCCF" w14:textId="698B07DA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All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5750E2FC" w14:textId="5B7F0AB6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ADA negative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1BE2E75E" w14:textId="5156AC2F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ADA positive</w:t>
            </w:r>
            <w:r w:rsidRPr="008919F9">
              <w:rPr>
                <w:b/>
                <w:bCs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0DE0BAA5" w14:textId="2ADB41DC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All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016506EA" w14:textId="48EFE36E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ADA negative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6AD2BB71" w14:textId="0B5626AA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ADA positive</w:t>
            </w:r>
            <w:r w:rsidRPr="008919F9">
              <w:rPr>
                <w:b/>
                <w:bCs/>
                <w:sz w:val="18"/>
                <w:szCs w:val="20"/>
                <w:vertAlign w:val="superscript"/>
              </w:rPr>
              <w:t>*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6C07DB51" w14:textId="7FBB22CA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All</w:t>
            </w:r>
          </w:p>
        </w:tc>
        <w:tc>
          <w:tcPr>
            <w:tcW w:w="505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0475AD8A" w14:textId="3621262B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ADA negative</w:t>
            </w:r>
          </w:p>
        </w:tc>
        <w:tc>
          <w:tcPr>
            <w:tcW w:w="503" w:type="pct"/>
            <w:tcBorders>
              <w:left w:val="nil"/>
              <w:bottom w:val="single" w:sz="12" w:space="0" w:color="0460A9"/>
              <w:right w:val="nil"/>
            </w:tcBorders>
            <w:vAlign w:val="center"/>
          </w:tcPr>
          <w:p w14:paraId="316DC408" w14:textId="1FEA85F7" w:rsidR="000A0F00" w:rsidRPr="008919F9" w:rsidRDefault="000A0F00" w:rsidP="00A85BC6">
            <w:pPr>
              <w:spacing w:before="40" w:after="40" w:line="240" w:lineRule="auto"/>
              <w:jc w:val="center"/>
              <w:rPr>
                <w:b/>
                <w:bCs/>
                <w:sz w:val="18"/>
                <w:szCs w:val="20"/>
              </w:rPr>
            </w:pPr>
            <w:r w:rsidRPr="008919F9">
              <w:rPr>
                <w:b/>
                <w:bCs/>
                <w:sz w:val="18"/>
                <w:szCs w:val="20"/>
              </w:rPr>
              <w:t>ADA positive</w:t>
            </w:r>
            <w:r w:rsidRPr="008919F9">
              <w:rPr>
                <w:b/>
                <w:bCs/>
                <w:sz w:val="18"/>
                <w:szCs w:val="20"/>
                <w:vertAlign w:val="superscript"/>
              </w:rPr>
              <w:t>*</w:t>
            </w:r>
          </w:p>
        </w:tc>
      </w:tr>
      <w:tr w:rsidR="00846D4B" w:rsidRPr="008919F9" w14:paraId="13B2BE5F" w14:textId="73759B3B" w:rsidTr="00846D4B">
        <w:trPr>
          <w:trHeight w:val="246"/>
        </w:trPr>
        <w:tc>
          <w:tcPr>
            <w:tcW w:w="5000" w:type="pct"/>
            <w:gridSpan w:val="10"/>
            <w:tcBorders>
              <w:top w:val="single" w:sz="12" w:space="0" w:color="0460A9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D12B83" w14:textId="445F6CF6" w:rsidR="00846D4B" w:rsidRPr="008919F9" w:rsidRDefault="00846D4B" w:rsidP="000F6AE5">
            <w:pPr>
              <w:spacing w:before="40" w:after="40" w:line="240" w:lineRule="auto"/>
              <w:rPr>
                <w:b/>
                <w:sz w:val="18"/>
                <w:szCs w:val="20"/>
              </w:rPr>
            </w:pPr>
            <w:r w:rsidRPr="008919F9">
              <w:rPr>
                <w:b/>
                <w:sz w:val="18"/>
                <w:szCs w:val="20"/>
              </w:rPr>
              <w:t>Week 30</w:t>
            </w:r>
          </w:p>
        </w:tc>
      </w:tr>
      <w:tr w:rsidR="00846D4B" w:rsidRPr="008919F9" w14:paraId="3A24367D" w14:textId="507EE47B" w:rsidTr="000A0F00">
        <w:trPr>
          <w:trHeight w:val="53"/>
        </w:trPr>
        <w:tc>
          <w:tcPr>
            <w:tcW w:w="45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24F4561" w14:textId="520A2DFD" w:rsidR="00846D4B" w:rsidRPr="008919F9" w:rsidRDefault="00846D4B" w:rsidP="000A0F00">
            <w:pPr>
              <w:spacing w:before="40" w:after="40" w:line="240" w:lineRule="auto"/>
              <w:ind w:left="-8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1D263C0" w14:textId="6B9330AE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278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A2AB6AA" w14:textId="08BF6106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123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68AE948" w14:textId="30F9E68B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155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2EFA6568" w14:textId="7E0E214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143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C99E527" w14:textId="7F1FCF9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55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0649D03B" w14:textId="026C17F2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88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501B4360" w14:textId="07DF600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142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6F4FFC22" w14:textId="1F73C07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53</w:t>
            </w:r>
          </w:p>
        </w:tc>
        <w:tc>
          <w:tcPr>
            <w:tcW w:w="503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2F101CC0" w14:textId="36AB707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89</w:t>
            </w:r>
          </w:p>
        </w:tc>
      </w:tr>
      <w:tr w:rsidR="00846D4B" w:rsidRPr="008919F9" w14:paraId="3FA9AB24" w14:textId="182BC8F8" w:rsidTr="000A0F00">
        <w:trPr>
          <w:trHeight w:val="53"/>
        </w:trPr>
        <w:tc>
          <w:tcPr>
            <w:tcW w:w="45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2FADF50" w14:textId="6A0718C7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NALQ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D55B5A2" w14:textId="2D4E76A4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161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C260330" w14:textId="362A3E1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121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955123E" w14:textId="0D9C7091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40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78D6064" w14:textId="4597225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69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55C1EE8B" w14:textId="520D889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53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1066535" w14:textId="6C3E2E5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018048E8" w14:textId="2885D5B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82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2E7BDC2" w14:textId="3164BA34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53</w:t>
            </w:r>
          </w:p>
        </w:tc>
        <w:tc>
          <w:tcPr>
            <w:tcW w:w="503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62C9960D" w14:textId="004825E0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29</w:t>
            </w:r>
          </w:p>
        </w:tc>
      </w:tr>
      <w:tr w:rsidR="00846D4B" w:rsidRPr="008919F9" w14:paraId="3B7BBB57" w14:textId="6A8E6742" w:rsidTr="000A0F00">
        <w:trPr>
          <w:trHeight w:val="471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F3AD9E9" w14:textId="77777777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Median</w:t>
            </w:r>
          </w:p>
          <w:p w14:paraId="3D1723C7" w14:textId="2B45C8F3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(P5, P95)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2687708" w14:textId="77777777" w:rsidR="00A85BC6" w:rsidRPr="008919F9" w:rsidRDefault="00846D4B" w:rsidP="00846D4B">
            <w:pPr>
              <w:spacing w:before="40" w:after="40" w:line="240" w:lineRule="auto"/>
              <w:jc w:val="center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428.5</w:t>
            </w:r>
          </w:p>
          <w:p w14:paraId="3BC46322" w14:textId="0125CE50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(0, 7381)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21209D6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3082</w:t>
            </w:r>
          </w:p>
          <w:p w14:paraId="781BE105" w14:textId="7EBE95D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(408, 10050)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5933DEE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60947C91" w14:textId="7088906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(0, 1559)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632B0D4D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42AC4E9D" w14:textId="4218E47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(0, 4757)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E728B7D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1975</w:t>
            </w:r>
          </w:p>
          <w:p w14:paraId="0BD5D564" w14:textId="500248E1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(109, 6376)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28AC12B4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29595643" w14:textId="02B2C5CB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(0, 1033)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0EC058D5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621.5</w:t>
            </w:r>
          </w:p>
          <w:p w14:paraId="228B004C" w14:textId="1F5ABF5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(0, 6361)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F55A768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3572</w:t>
            </w:r>
          </w:p>
          <w:p w14:paraId="1FA7E657" w14:textId="776BF241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(920, 9479)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1F32E279" w14:textId="7777777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741C3673" w14:textId="0339A38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(0, 2440)</w:t>
            </w:r>
          </w:p>
        </w:tc>
      </w:tr>
      <w:tr w:rsidR="000F6AE5" w:rsidRPr="008919F9" w14:paraId="49116A90" w14:textId="3F6F355B" w:rsidTr="000A0F00">
        <w:trPr>
          <w:trHeight w:val="23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46E8EE8" w14:textId="79A4B133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Mean (CV)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06D05BD" w14:textId="27A66F9A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1801 (154)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1820AFD" w14:textId="1E6537F0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3658 (85)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4EC51F9" w14:textId="5528FC2C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326.8 (346)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86DB0CD" w14:textId="75EEE853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1083 (163)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7D85B1D8" w14:textId="48A9B146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2567 (79)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39E704D" w14:textId="0C29A583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156</w:t>
            </w:r>
            <w:r w:rsidR="00BF0819" w:rsidRPr="008919F9">
              <w:rPr>
                <w:color w:val="000000"/>
                <w:sz w:val="18"/>
                <w:szCs w:val="20"/>
              </w:rPr>
              <w:t>.0</w:t>
            </w:r>
            <w:r w:rsidRPr="008919F9">
              <w:rPr>
                <w:color w:val="000000"/>
                <w:sz w:val="18"/>
                <w:szCs w:val="20"/>
              </w:rPr>
              <w:t xml:space="preserve"> (314)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970195C" w14:textId="0A159902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1819 (132)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682F579A" w14:textId="6002A5B5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3998 (59)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285EC0F9" w14:textId="5CDEE8B6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521.4 (225)</w:t>
            </w:r>
          </w:p>
        </w:tc>
      </w:tr>
      <w:tr w:rsidR="00846D4B" w:rsidRPr="008919F9" w14:paraId="5186F518" w14:textId="782D7967" w:rsidTr="00846D4B">
        <w:trPr>
          <w:trHeight w:val="203"/>
        </w:trPr>
        <w:tc>
          <w:tcPr>
            <w:tcW w:w="5000" w:type="pct"/>
            <w:gridSpan w:val="10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975F9B" w14:textId="71C32BBB" w:rsidR="00846D4B" w:rsidRPr="008919F9" w:rsidRDefault="00846D4B" w:rsidP="000A0F00">
            <w:pPr>
              <w:spacing w:before="40" w:after="40" w:line="240" w:lineRule="auto"/>
              <w:ind w:left="-8"/>
              <w:rPr>
                <w:b/>
                <w:color w:val="000000"/>
                <w:sz w:val="18"/>
                <w:szCs w:val="20"/>
              </w:rPr>
            </w:pPr>
            <w:r w:rsidRPr="008919F9">
              <w:rPr>
                <w:b/>
                <w:color w:val="000000"/>
                <w:sz w:val="18"/>
                <w:szCs w:val="20"/>
              </w:rPr>
              <w:t xml:space="preserve">Week 38 </w:t>
            </w:r>
          </w:p>
        </w:tc>
      </w:tr>
      <w:tr w:rsidR="00846D4B" w:rsidRPr="008919F9" w14:paraId="151B27D8" w14:textId="613B6219" w:rsidTr="000A0F00">
        <w:trPr>
          <w:trHeight w:val="37"/>
        </w:trPr>
        <w:tc>
          <w:tcPr>
            <w:tcW w:w="45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382B3BD" w14:textId="0FDFB161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422F300" w14:textId="13A49076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272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C791CBB" w14:textId="2B46B784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AC67E8" w14:textId="52FB02B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150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21F2E547" w14:textId="02A4166D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136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536CD1B" w14:textId="6BFD154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B0E8194" w14:textId="67275D01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84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203F835" w14:textId="6C27D01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133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7B519CF" w14:textId="4E6715AA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503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3E2F3A0A" w14:textId="63B6F8CA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83</w:t>
            </w:r>
          </w:p>
        </w:tc>
      </w:tr>
      <w:tr w:rsidR="00846D4B" w:rsidRPr="008919F9" w14:paraId="5F39CE40" w14:textId="77777777" w:rsidTr="000A0F00">
        <w:trPr>
          <w:trHeight w:val="37"/>
        </w:trPr>
        <w:tc>
          <w:tcPr>
            <w:tcW w:w="45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0A8E2CC" w14:textId="7D735C02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NALQ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A1169D9" w14:textId="4D9DB7E1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152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9169D72" w14:textId="36A4160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120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3A302AC" w14:textId="4FED8B24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3FAA354F" w14:textId="66FFCF4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61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7FCBF3B5" w14:textId="7EC0940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50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E51690E" w14:textId="3CFC200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24381322" w14:textId="2F65384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68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642B90D" w14:textId="592DF608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47</w:t>
            </w:r>
          </w:p>
        </w:tc>
        <w:tc>
          <w:tcPr>
            <w:tcW w:w="503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8C1D5F5" w14:textId="534467B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21</w:t>
            </w:r>
          </w:p>
        </w:tc>
      </w:tr>
      <w:tr w:rsidR="000F6AE5" w:rsidRPr="008919F9" w14:paraId="0AA457BF" w14:textId="77777777" w:rsidTr="000A0F00">
        <w:trPr>
          <w:trHeight w:val="23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25D8BEA" w14:textId="77777777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Median</w:t>
            </w:r>
          </w:p>
          <w:p w14:paraId="2B743229" w14:textId="59CD43C8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(P5, P95)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9B0CF85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462</w:t>
            </w:r>
          </w:p>
          <w:p w14:paraId="23B51DDF" w14:textId="697DB545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(0, 7931)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5E2310D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3350</w:t>
            </w:r>
          </w:p>
          <w:p w14:paraId="7647B8B8" w14:textId="169FFDAC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(500, 10770)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03AF234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38865A56" w14:textId="12D36EA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(0, 1297)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7A78905E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154479E0" w14:textId="5448B4DD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(0, 5926)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F4CDCAA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2814</w:t>
            </w:r>
          </w:p>
          <w:p w14:paraId="7F0437AD" w14:textId="044F64F8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(266, 6887)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7C065DC8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5FD8D59E" w14:textId="74E13A09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(0, 517)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65FBA2C7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102</w:t>
            </w:r>
          </w:p>
          <w:p w14:paraId="1C87EC49" w14:textId="7F7C5118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(0, 6221)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09BD92E0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3021</w:t>
            </w:r>
          </w:p>
          <w:p w14:paraId="258076DA" w14:textId="5F40003A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(0, 8361)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55D5EA4B" w14:textId="77777777" w:rsidR="000F6AE5" w:rsidRPr="008919F9" w:rsidRDefault="000F6AE5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4C5C43DD" w14:textId="35558A50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(0, 1671)</w:t>
            </w:r>
          </w:p>
        </w:tc>
      </w:tr>
      <w:tr w:rsidR="000F6AE5" w:rsidRPr="008919F9" w14:paraId="715E1B09" w14:textId="77777777" w:rsidTr="000A0F00">
        <w:trPr>
          <w:trHeight w:val="23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BFCFB91" w14:textId="2D83A4D8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Mean (CV)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34BA671" w14:textId="73D9324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1855 (155)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83D22CE" w14:textId="11650D49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3794 (83)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C6D05EF" w14:textId="6B3BF0A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278.7 (406)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7D899E80" w14:textId="4D08CA13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1208 (159)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23929E4C" w14:textId="737F8CA0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2990 (70)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4ACF7E95" w14:textId="3DF216A1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104.5 (375)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5380415" w14:textId="3DF5292B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1620 (149)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210146F6" w14:textId="09417956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3579 (68)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490C2116" w14:textId="23241B9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440.2 (331)</w:t>
            </w:r>
          </w:p>
        </w:tc>
      </w:tr>
      <w:tr w:rsidR="00846D4B" w:rsidRPr="008919F9" w14:paraId="63B41041" w14:textId="34D26D1F" w:rsidTr="00846D4B">
        <w:trPr>
          <w:trHeight w:val="37"/>
        </w:trPr>
        <w:tc>
          <w:tcPr>
            <w:tcW w:w="5000" w:type="pct"/>
            <w:gridSpan w:val="10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B10FCA" w14:textId="29AC090B" w:rsidR="00846D4B" w:rsidRPr="008919F9" w:rsidRDefault="00846D4B" w:rsidP="000A0F00">
            <w:pPr>
              <w:spacing w:before="40" w:after="40" w:line="240" w:lineRule="auto"/>
              <w:ind w:left="-8"/>
              <w:rPr>
                <w:b/>
                <w:color w:val="000000"/>
                <w:sz w:val="18"/>
                <w:szCs w:val="20"/>
              </w:rPr>
            </w:pPr>
            <w:r w:rsidRPr="008919F9">
              <w:rPr>
                <w:b/>
                <w:color w:val="000000"/>
                <w:sz w:val="18"/>
                <w:szCs w:val="20"/>
              </w:rPr>
              <w:t>Week 54</w:t>
            </w:r>
          </w:p>
        </w:tc>
      </w:tr>
      <w:tr w:rsidR="00846D4B" w:rsidRPr="008919F9" w14:paraId="3980D9D3" w14:textId="2EB75D79" w:rsidTr="000A0F00">
        <w:trPr>
          <w:trHeight w:val="211"/>
        </w:trPr>
        <w:tc>
          <w:tcPr>
            <w:tcW w:w="45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857777F" w14:textId="5B7DA33F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B9D1E96" w14:textId="7DEC9B0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248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EA2C8D8" w14:textId="7905228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114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3483A5EA" w14:textId="550A88F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134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0EEB4F33" w14:textId="1034F8D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125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2E6FA210" w14:textId="5B3B4824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49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B7F9ACB" w14:textId="0C4B667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76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60C6F31B" w14:textId="43A6D7D2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125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71928E7" w14:textId="72B25F0A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47</w:t>
            </w:r>
          </w:p>
        </w:tc>
        <w:tc>
          <w:tcPr>
            <w:tcW w:w="503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B89C16D" w14:textId="3FF4F4F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78</w:t>
            </w:r>
          </w:p>
        </w:tc>
      </w:tr>
      <w:tr w:rsidR="00846D4B" w:rsidRPr="008919F9" w14:paraId="23DC70EC" w14:textId="77777777" w:rsidTr="000A0F00">
        <w:trPr>
          <w:trHeight w:val="211"/>
        </w:trPr>
        <w:tc>
          <w:tcPr>
            <w:tcW w:w="457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448F710" w14:textId="3366D57E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NALQ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E3B2716" w14:textId="0B18FED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145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E573DA7" w14:textId="58F6580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112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3E4EE28" w14:textId="7D9CB68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33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6091611A" w14:textId="0014122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57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44703DA" w14:textId="1D09D876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46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736BA120" w14:textId="1DC1DC5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03114E27" w14:textId="312FDDC9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67</w:t>
            </w:r>
          </w:p>
        </w:tc>
        <w:tc>
          <w:tcPr>
            <w:tcW w:w="505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49EFD5A8" w14:textId="145C477B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47</w:t>
            </w:r>
          </w:p>
        </w:tc>
        <w:tc>
          <w:tcPr>
            <w:tcW w:w="503" w:type="pct"/>
            <w:tcBorders>
              <w:left w:val="nil"/>
              <w:bottom w:val="single" w:sz="4" w:space="0" w:color="646464"/>
              <w:right w:val="nil"/>
            </w:tcBorders>
            <w:vAlign w:val="bottom"/>
          </w:tcPr>
          <w:p w14:paraId="10E45D50" w14:textId="332EFCE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20</w:t>
            </w:r>
          </w:p>
        </w:tc>
      </w:tr>
      <w:tr w:rsidR="000F6AE5" w:rsidRPr="008919F9" w14:paraId="7890D5E5" w14:textId="77777777" w:rsidTr="000A0F00">
        <w:trPr>
          <w:trHeight w:val="23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86B9BA4" w14:textId="77777777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Median</w:t>
            </w:r>
          </w:p>
          <w:p w14:paraId="0A30BAD0" w14:textId="533EEDF2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(P5, P95)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548ABEA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549.5</w:t>
            </w:r>
          </w:p>
          <w:p w14:paraId="0A7B801A" w14:textId="1D83FFB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(0, 8521)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78D55A4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3033</w:t>
            </w:r>
          </w:p>
          <w:p w14:paraId="3EEE244F" w14:textId="56C12A20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(248, 11580</w:t>
            </w:r>
            <w:r w:rsidR="000A0F00"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FE204F8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50F3D3BF" w14:textId="2909C56E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(0, 3269)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64733739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350F398D" w14:textId="334AF0AB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(0, 6097)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06B8081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2598</w:t>
            </w:r>
          </w:p>
          <w:p w14:paraId="241FB708" w14:textId="04CC3331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(0, 11890)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0CEB0ED6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6FBD7B74" w14:textId="31C9336D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(0, 821)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0C3B933B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184</w:t>
            </w:r>
          </w:p>
          <w:p w14:paraId="53361144" w14:textId="2334639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(0, 7608)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0A758A5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3573</w:t>
            </w:r>
          </w:p>
          <w:p w14:paraId="5C414EEB" w14:textId="08BBF996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(630, 10260)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76B61B1E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507D78D1" w14:textId="517ED99B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(0, 1863)</w:t>
            </w:r>
          </w:p>
        </w:tc>
      </w:tr>
      <w:tr w:rsidR="000F6AE5" w:rsidRPr="008919F9" w14:paraId="3511F168" w14:textId="77777777" w:rsidTr="000A0F00">
        <w:trPr>
          <w:trHeight w:val="23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4C1452" w14:textId="69D5E59D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lastRenderedPageBreak/>
              <w:t>Mean (CV)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0069241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2075</w:t>
            </w:r>
          </w:p>
          <w:p w14:paraId="69B44EE6" w14:textId="2993A47A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195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7AB67EE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3513</w:t>
            </w:r>
          </w:p>
          <w:p w14:paraId="4543C7D6" w14:textId="14A7BD7E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90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8C8304C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851.8</w:t>
            </w:r>
          </w:p>
          <w:p w14:paraId="5456475D" w14:textId="39373469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508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35F32674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1823</w:t>
            </w:r>
          </w:p>
          <w:p w14:paraId="0CFCA6D6" w14:textId="2C3DC36C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335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0687685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4485</w:t>
            </w:r>
          </w:p>
          <w:p w14:paraId="5399105F" w14:textId="13FA2683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205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4E3F4B9F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106.7</w:t>
            </w:r>
          </w:p>
          <w:p w14:paraId="3215E1EE" w14:textId="7AFBC82C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316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55E2324F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1734</w:t>
            </w:r>
          </w:p>
          <w:p w14:paraId="0C894400" w14:textId="0100E6E2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157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8C0AADA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4232</w:t>
            </w:r>
          </w:p>
          <w:p w14:paraId="090273FE" w14:textId="710AEE77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71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7360C529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229.4</w:t>
            </w:r>
          </w:p>
          <w:p w14:paraId="3E288F65" w14:textId="6A1392D1" w:rsidR="000F6AE5" w:rsidRPr="008919F9" w:rsidRDefault="00BF0819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0F6AE5" w:rsidRPr="008919F9">
              <w:rPr>
                <w:color w:val="000000"/>
                <w:sz w:val="18"/>
                <w:szCs w:val="20"/>
              </w:rPr>
              <w:t>277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</w:tr>
      <w:tr w:rsidR="00846D4B" w:rsidRPr="008919F9" w14:paraId="40CA3435" w14:textId="7ECE3D99" w:rsidTr="00846D4B">
        <w:trPr>
          <w:trHeight w:val="123"/>
        </w:trPr>
        <w:tc>
          <w:tcPr>
            <w:tcW w:w="5000" w:type="pct"/>
            <w:gridSpan w:val="10"/>
            <w:tcBorders>
              <w:top w:val="single" w:sz="4" w:space="0" w:color="646464"/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1E0FF7" w14:textId="54399939" w:rsidR="00846D4B" w:rsidRPr="008919F9" w:rsidRDefault="00846D4B" w:rsidP="000A0F00">
            <w:pPr>
              <w:spacing w:before="40" w:after="40" w:line="240" w:lineRule="auto"/>
              <w:ind w:left="-8"/>
              <w:rPr>
                <w:b/>
                <w:color w:val="000000"/>
                <w:sz w:val="18"/>
                <w:szCs w:val="20"/>
              </w:rPr>
            </w:pPr>
            <w:r w:rsidRPr="008919F9">
              <w:rPr>
                <w:b/>
                <w:color w:val="000000"/>
                <w:sz w:val="18"/>
                <w:szCs w:val="20"/>
              </w:rPr>
              <w:t>EOT/ET</w:t>
            </w:r>
          </w:p>
        </w:tc>
      </w:tr>
      <w:tr w:rsidR="00846D4B" w:rsidRPr="008919F9" w14:paraId="2198140E" w14:textId="21575A76" w:rsidTr="000A0F00">
        <w:trPr>
          <w:trHeight w:val="37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7A562E4" w14:textId="14C673CD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4958C58" w14:textId="1C553FD7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16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37F4D3F" w14:textId="0D7ECFB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4F3AE60B" w14:textId="54F319DC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13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B24BAA9" w14:textId="0D33F53A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E47CCE1" w14:textId="1D535F8E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5059611" w14:textId="228587E1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5A29C799" w14:textId="77BA8C8A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0ED904B7" w14:textId="4AAE871D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2F3631A4" w14:textId="24823C7A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7</w:t>
            </w:r>
          </w:p>
        </w:tc>
      </w:tr>
      <w:tr w:rsidR="00846D4B" w:rsidRPr="008919F9" w14:paraId="7A554828" w14:textId="77777777" w:rsidTr="000A0F00">
        <w:trPr>
          <w:trHeight w:val="37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2CCC588" w14:textId="3356DF1A" w:rsidR="00846D4B" w:rsidRPr="008919F9" w:rsidRDefault="00846D4B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NALQ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24C2B4A5" w14:textId="26B9A690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5C98E74B" w14:textId="3B37AC0B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0EE21C7" w14:textId="61CFF1A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7A92C0F5" w14:textId="01762402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6B0165F8" w14:textId="2C5004C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2FB1DBBF" w14:textId="14D3BB35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55480394" w14:textId="19C1A3BB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46BE32C3" w14:textId="34B2F2FF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09AE2F32" w14:textId="5020E95B" w:rsidR="00846D4B" w:rsidRPr="008919F9" w:rsidRDefault="00846D4B" w:rsidP="00846D4B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</w:t>
            </w:r>
          </w:p>
        </w:tc>
      </w:tr>
      <w:tr w:rsidR="000F6AE5" w:rsidRPr="008919F9" w14:paraId="7846FA4D" w14:textId="77777777" w:rsidTr="001923E1">
        <w:trPr>
          <w:trHeight w:val="23"/>
        </w:trPr>
        <w:tc>
          <w:tcPr>
            <w:tcW w:w="457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589E416" w14:textId="77777777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Median</w:t>
            </w:r>
          </w:p>
          <w:p w14:paraId="7032E52E" w14:textId="65FFD32B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(P5, P95)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147A071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6B8F07F9" w14:textId="42C92DC2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(0, 5418)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041807C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1376</w:t>
            </w:r>
          </w:p>
          <w:p w14:paraId="6931DBCF" w14:textId="3AED524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(988, 5418)</w:t>
            </w:r>
          </w:p>
        </w:tc>
        <w:tc>
          <w:tcPr>
            <w:tcW w:w="505" w:type="pct"/>
            <w:tcBorders>
              <w:left w:val="nil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7759939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38CA73E2" w14:textId="3D7A4FBA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(0, 212)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2DD60D48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49CC7D38" w14:textId="1851558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(0, 1346)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08B7AA6E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650</w:t>
            </w:r>
          </w:p>
          <w:p w14:paraId="44EC9832" w14:textId="034C1144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(332, 1346)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1268ECA9" w14:textId="630A7BD3" w:rsidR="000F6AE5" w:rsidRPr="008919F9" w:rsidRDefault="00A85BC6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–</w:t>
            </w:r>
          </w:p>
          <w:p w14:paraId="4397A19D" w14:textId="60AA821C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</w:t>
            </w:r>
            <w:r w:rsidR="00A85BC6" w:rsidRPr="008919F9">
              <w:rPr>
                <w:color w:val="000000"/>
                <w:sz w:val="18"/>
                <w:szCs w:val="20"/>
              </w:rPr>
              <w:t>–</w:t>
            </w:r>
            <w:r w:rsidRPr="008919F9">
              <w:rPr>
                <w:color w:val="000000"/>
                <w:sz w:val="18"/>
                <w:szCs w:val="20"/>
              </w:rPr>
              <w:t xml:space="preserve">, </w:t>
            </w:r>
            <w:r w:rsidR="00A85BC6" w:rsidRPr="008919F9">
              <w:rPr>
                <w:color w:val="000000"/>
                <w:sz w:val="18"/>
                <w:szCs w:val="20"/>
              </w:rPr>
              <w:t>–</w:t>
            </w:r>
            <w:r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7DBD274A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117</w:t>
            </w:r>
          </w:p>
          <w:p w14:paraId="2B1FC9A5" w14:textId="4515D3C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(0, 28380)</w:t>
            </w:r>
          </w:p>
        </w:tc>
        <w:tc>
          <w:tcPr>
            <w:tcW w:w="505" w:type="pct"/>
            <w:tcBorders>
              <w:left w:val="nil"/>
              <w:right w:val="nil"/>
            </w:tcBorders>
            <w:vAlign w:val="bottom"/>
          </w:tcPr>
          <w:p w14:paraId="406323A2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1423</w:t>
            </w:r>
          </w:p>
          <w:p w14:paraId="7D878EF6" w14:textId="716B8EE1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(501, 28380)</w:t>
            </w:r>
          </w:p>
        </w:tc>
        <w:tc>
          <w:tcPr>
            <w:tcW w:w="503" w:type="pct"/>
            <w:tcBorders>
              <w:left w:val="nil"/>
              <w:right w:val="nil"/>
            </w:tcBorders>
            <w:vAlign w:val="bottom"/>
          </w:tcPr>
          <w:p w14:paraId="7AD4C2A3" w14:textId="77777777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0</w:t>
            </w:r>
          </w:p>
          <w:p w14:paraId="54847345" w14:textId="4655300B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(0, 4515)</w:t>
            </w:r>
          </w:p>
        </w:tc>
      </w:tr>
      <w:tr w:rsidR="000F6AE5" w:rsidRPr="008919F9" w14:paraId="24223E9C" w14:textId="77777777" w:rsidTr="001923E1">
        <w:trPr>
          <w:trHeight w:val="23"/>
        </w:trPr>
        <w:tc>
          <w:tcPr>
            <w:tcW w:w="457" w:type="pct"/>
            <w:tcBorders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71DA97A7" w14:textId="303F8688" w:rsidR="000F6AE5" w:rsidRPr="008919F9" w:rsidRDefault="000F6AE5" w:rsidP="000A0F00">
            <w:pPr>
              <w:spacing w:before="40" w:after="40" w:line="240" w:lineRule="auto"/>
              <w:ind w:left="-8"/>
              <w:rPr>
                <w:color w:val="000000"/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Mean (CV)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69F8C7F1" w14:textId="0358D6D8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499.6 (275)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081B6682" w14:textId="0944E613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2594 (95)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14:paraId="1E3849AB" w14:textId="00330418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16.31 (361)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06EE0B0" w14:textId="28E1248F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212.7 (190)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8AEA949" w14:textId="38431469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744.5 (58)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FA13E59" w14:textId="6A1F6735" w:rsidR="000F6AE5" w:rsidRPr="008919F9" w:rsidRDefault="00A85BC6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–</w:t>
            </w:r>
            <w:r w:rsidR="000F6AE5" w:rsidRPr="008919F9">
              <w:rPr>
                <w:color w:val="000000"/>
                <w:sz w:val="18"/>
                <w:szCs w:val="20"/>
              </w:rPr>
              <w:t xml:space="preserve"> (</w:t>
            </w:r>
            <w:r w:rsidRPr="008919F9">
              <w:rPr>
                <w:color w:val="000000"/>
                <w:sz w:val="18"/>
                <w:szCs w:val="20"/>
              </w:rPr>
              <w:t>–</w:t>
            </w:r>
            <w:r w:rsidR="000F6AE5" w:rsidRPr="008919F9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7E1943B" w14:textId="79024FDC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3305 (255)</w:t>
            </w:r>
          </w:p>
        </w:tc>
        <w:tc>
          <w:tcPr>
            <w:tcW w:w="50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400623D" w14:textId="732859DB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7932 (172)</w:t>
            </w:r>
          </w:p>
        </w:tc>
        <w:tc>
          <w:tcPr>
            <w:tcW w:w="503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DC5B0F2" w14:textId="61468F09" w:rsidR="000F6AE5" w:rsidRPr="008919F9" w:rsidRDefault="000F6AE5" w:rsidP="000F6AE5">
            <w:pPr>
              <w:spacing w:before="40" w:after="40" w:line="240" w:lineRule="auto"/>
              <w:jc w:val="center"/>
              <w:rPr>
                <w:sz w:val="18"/>
                <w:szCs w:val="20"/>
              </w:rPr>
            </w:pPr>
            <w:r w:rsidRPr="008919F9">
              <w:rPr>
                <w:color w:val="000000"/>
                <w:sz w:val="18"/>
                <w:szCs w:val="20"/>
              </w:rPr>
              <w:t>661.7 (257)</w:t>
            </w:r>
          </w:p>
        </w:tc>
      </w:tr>
    </w:tbl>
    <w:p w14:paraId="3F3920EA" w14:textId="6B88D191" w:rsidR="008F3DD8" w:rsidRPr="001923E1" w:rsidRDefault="00AF7FEC" w:rsidP="00AF7FEC">
      <w:pPr>
        <w:spacing w:line="259" w:lineRule="auto"/>
        <w:rPr>
          <w:sz w:val="18"/>
          <w:szCs w:val="18"/>
        </w:rPr>
      </w:pPr>
      <w:r w:rsidRPr="001923E1">
        <w:rPr>
          <w:sz w:val="18"/>
          <w:szCs w:val="18"/>
        </w:rPr>
        <w:t>The TP2 PK population included all patients who received study treatment in TP2, had no protocol deviations influencing the</w:t>
      </w:r>
      <w:r w:rsidR="00BB5AE0" w:rsidRPr="001923E1">
        <w:rPr>
          <w:sz w:val="18"/>
          <w:szCs w:val="18"/>
        </w:rPr>
        <w:t xml:space="preserve"> </w:t>
      </w:r>
      <w:r w:rsidRPr="001923E1">
        <w:rPr>
          <w:sz w:val="18"/>
          <w:szCs w:val="18"/>
        </w:rPr>
        <w:t>PK assessment, and provided at least 1 drug concentration measurement during TP2</w:t>
      </w:r>
      <w:r w:rsidR="00BB5AE0" w:rsidRPr="001923E1">
        <w:rPr>
          <w:sz w:val="18"/>
          <w:szCs w:val="18"/>
        </w:rPr>
        <w:t xml:space="preserve">. </w:t>
      </w:r>
      <w:r w:rsidR="000A0F00" w:rsidRPr="001923E1">
        <w:rPr>
          <w:sz w:val="18"/>
          <w:szCs w:val="18"/>
        </w:rPr>
        <w:t xml:space="preserve">Summary statistics are not presented if </w:t>
      </w:r>
      <w:r w:rsidR="00D63D46" w:rsidRPr="001923E1">
        <w:rPr>
          <w:sz w:val="18"/>
          <w:szCs w:val="18"/>
        </w:rPr>
        <w:t>number of observations above LLOQ (</w:t>
      </w:r>
      <w:r w:rsidR="000A0F00" w:rsidRPr="001923E1">
        <w:rPr>
          <w:sz w:val="18"/>
          <w:szCs w:val="18"/>
        </w:rPr>
        <w:t>NALQ</w:t>
      </w:r>
      <w:r w:rsidR="00D63D46" w:rsidRPr="001923E1">
        <w:rPr>
          <w:sz w:val="18"/>
          <w:szCs w:val="18"/>
        </w:rPr>
        <w:t>)</w:t>
      </w:r>
      <w:r w:rsidR="000A0F00" w:rsidRPr="001923E1">
        <w:rPr>
          <w:sz w:val="18"/>
          <w:szCs w:val="18"/>
        </w:rPr>
        <w:t>=0. Summary statistics were calculated by setting concentration values below the LLOQ to 0. The LLOQ is 100 ng/</w:t>
      </w:r>
      <w:proofErr w:type="spellStart"/>
      <w:r w:rsidR="000A0F00" w:rsidRPr="001923E1">
        <w:rPr>
          <w:sz w:val="18"/>
          <w:szCs w:val="18"/>
        </w:rPr>
        <w:t>mL.</w:t>
      </w:r>
      <w:proofErr w:type="spellEnd"/>
      <w:r w:rsidR="00A85BC6" w:rsidRPr="001923E1">
        <w:rPr>
          <w:sz w:val="18"/>
          <w:szCs w:val="18"/>
        </w:rPr>
        <w:t xml:space="preserve"> One patient </w:t>
      </w:r>
      <w:r w:rsidR="000A0F00" w:rsidRPr="001923E1">
        <w:rPr>
          <w:sz w:val="18"/>
          <w:szCs w:val="18"/>
        </w:rPr>
        <w:t xml:space="preserve">in the </w:t>
      </w:r>
      <w:r w:rsidR="00E8168D" w:rsidRPr="001923E1">
        <w:rPr>
          <w:sz w:val="18"/>
          <w:szCs w:val="18"/>
        </w:rPr>
        <w:t>ref-IFX</w:t>
      </w:r>
      <w:r w:rsidR="000A0F00" w:rsidRPr="001923E1">
        <w:rPr>
          <w:sz w:val="18"/>
          <w:szCs w:val="18"/>
        </w:rPr>
        <w:t>/</w:t>
      </w:r>
      <w:r w:rsidR="00E8168D" w:rsidRPr="001923E1">
        <w:rPr>
          <w:sz w:val="18"/>
          <w:szCs w:val="18"/>
        </w:rPr>
        <w:t>PF-SZ-IFX</w:t>
      </w:r>
      <w:r w:rsidR="000A0F00" w:rsidRPr="001923E1">
        <w:rPr>
          <w:sz w:val="18"/>
          <w:szCs w:val="18"/>
        </w:rPr>
        <w:t xml:space="preserve"> group was excluded from the PK summary statistics at Week 54 due to a dispensing error at Week 46.</w:t>
      </w:r>
      <w:r w:rsidR="008F3DD8" w:rsidRPr="001923E1">
        <w:rPr>
          <w:sz w:val="18"/>
          <w:szCs w:val="18"/>
        </w:rPr>
        <w:t xml:space="preserve"> </w:t>
      </w:r>
      <w:r w:rsidR="001F7E65">
        <w:rPr>
          <w:sz w:val="18"/>
          <w:szCs w:val="18"/>
        </w:rPr>
        <w:br/>
      </w:r>
      <w:r w:rsidR="008F3DD8" w:rsidRPr="001923E1">
        <w:rPr>
          <w:sz w:val="18"/>
          <w:szCs w:val="18"/>
        </w:rPr>
        <w:t>*Patients with at least 1 post-dose sample that tested positive during TP1, regardless of the pre-dose ADA status, or a newly ADA positive subject in TP2.</w:t>
      </w:r>
      <w:r w:rsidR="008F3DD8" w:rsidRPr="001923E1">
        <w:rPr>
          <w:sz w:val="18"/>
          <w:szCs w:val="18"/>
        </w:rPr>
        <w:br/>
        <w:t>ADA, anti</w:t>
      </w:r>
      <w:r w:rsidR="00482328" w:rsidRPr="001923E1">
        <w:rPr>
          <w:sz w:val="18"/>
          <w:szCs w:val="18"/>
        </w:rPr>
        <w:t>-</w:t>
      </w:r>
      <w:r w:rsidR="008F3DD8" w:rsidRPr="001923E1">
        <w:rPr>
          <w:sz w:val="18"/>
          <w:szCs w:val="18"/>
        </w:rPr>
        <w:t xml:space="preserve">drug antibody; CV, coefficient of variation; EOT, end of treatment; ET, early termination; LLOQ, lower limit of quantification; N, number of observations; NALQ, number of observations above LLOQ; P5, 5th percentile; P95, 95th percentile; </w:t>
      </w:r>
      <w:r w:rsidR="001F7E65">
        <w:rPr>
          <w:sz w:val="18"/>
          <w:szCs w:val="18"/>
        </w:rPr>
        <w:t>PF-SZ-IFX</w:t>
      </w:r>
      <w:r w:rsidR="001F7E65" w:rsidRPr="008919F9">
        <w:rPr>
          <w:sz w:val="18"/>
          <w:szCs w:val="18"/>
        </w:rPr>
        <w:t>, PF</w:t>
      </w:r>
      <w:r w:rsidR="001F7E65" w:rsidRPr="008919F9">
        <w:rPr>
          <w:sz w:val="18"/>
          <w:szCs w:val="18"/>
        </w:rPr>
        <w:noBreakHyphen/>
        <w:t>06438179/GP1111</w:t>
      </w:r>
      <w:r w:rsidR="001F7E65">
        <w:rPr>
          <w:sz w:val="18"/>
          <w:szCs w:val="18"/>
        </w:rPr>
        <w:t xml:space="preserve">; PK, pharmacokinetic; ref-IFX, European reference infliximab; </w:t>
      </w:r>
      <w:r w:rsidR="008F3DD8" w:rsidRPr="001923E1">
        <w:rPr>
          <w:sz w:val="18"/>
          <w:szCs w:val="18"/>
        </w:rPr>
        <w:t xml:space="preserve">TP2, Treatment </w:t>
      </w:r>
      <w:r w:rsidR="002E0CAE" w:rsidRPr="001923E1">
        <w:rPr>
          <w:sz w:val="18"/>
          <w:szCs w:val="18"/>
        </w:rPr>
        <w:t>P</w:t>
      </w:r>
      <w:r w:rsidR="008F3DD8" w:rsidRPr="001923E1">
        <w:rPr>
          <w:sz w:val="18"/>
          <w:szCs w:val="18"/>
        </w:rPr>
        <w:t>eriod 2.</w:t>
      </w:r>
    </w:p>
    <w:p w14:paraId="2039B776" w14:textId="77777777" w:rsidR="005A140B" w:rsidRPr="008919F9" w:rsidRDefault="005A140B">
      <w:pPr>
        <w:spacing w:line="259" w:lineRule="auto"/>
        <w:sectPr w:rsidR="005A140B" w:rsidRPr="008919F9" w:rsidSect="005A140B">
          <w:pgSz w:w="16838" w:h="11906" w:orient="landscape"/>
          <w:pgMar w:top="1440" w:right="1440" w:bottom="1418" w:left="1440" w:header="709" w:footer="709" w:gutter="0"/>
          <w:cols w:space="708"/>
          <w:docGrid w:linePitch="360"/>
        </w:sectPr>
      </w:pPr>
    </w:p>
    <w:p w14:paraId="66E19A49" w14:textId="5D88EC2F" w:rsidR="004E0B0C" w:rsidRPr="001923E1" w:rsidRDefault="004E0B0C" w:rsidP="004E0B0C">
      <w:pPr>
        <w:spacing w:after="0" w:line="480" w:lineRule="auto"/>
        <w:contextualSpacing/>
        <w:rPr>
          <w:b/>
        </w:rPr>
      </w:pPr>
      <w:r w:rsidRPr="001923E1">
        <w:rPr>
          <w:b/>
        </w:rPr>
        <w:lastRenderedPageBreak/>
        <w:t xml:space="preserve">Figure S1 </w:t>
      </w:r>
      <w:r w:rsidRPr="001923E1">
        <w:t xml:space="preserve">REFLECTIONS B537-02 </w:t>
      </w:r>
      <w:r w:rsidR="00BB7C3F">
        <w:t>s</w:t>
      </w:r>
      <w:r w:rsidRPr="001923E1">
        <w:t xml:space="preserve">tudy </w:t>
      </w:r>
      <w:r w:rsidR="00BB7C3F">
        <w:t>d</w:t>
      </w:r>
      <w:r w:rsidRPr="001923E1">
        <w:t>esign</w:t>
      </w:r>
    </w:p>
    <w:p w14:paraId="5FD454C5" w14:textId="1A99BC7D" w:rsidR="001543C2" w:rsidRDefault="001543C2" w:rsidP="001543C2">
      <w:pPr>
        <w:jc w:val="center"/>
        <w:rPr>
          <w:sz w:val="18"/>
          <w:szCs w:val="18"/>
        </w:rPr>
      </w:pPr>
    </w:p>
    <w:p w14:paraId="1590AF08" w14:textId="1BB4D7C0" w:rsidR="00FF6F49" w:rsidRDefault="00FF6F49" w:rsidP="001543C2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03C5B0C7" wp14:editId="474E1C1F">
            <wp:extent cx="5576400" cy="2624400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76400" cy="26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1446F" w14:textId="68D9AD0D" w:rsidR="004E0B0C" w:rsidRPr="008919F9" w:rsidRDefault="004E0B0C" w:rsidP="004E0B0C">
      <w:pPr>
        <w:rPr>
          <w:sz w:val="18"/>
          <w:szCs w:val="18"/>
        </w:rPr>
      </w:pPr>
      <w:r w:rsidRPr="008919F9">
        <w:rPr>
          <w:sz w:val="18"/>
          <w:szCs w:val="18"/>
        </w:rPr>
        <w:t xml:space="preserve">EOT, end of treatment; </w:t>
      </w:r>
      <w:r w:rsidR="00E8168D">
        <w:rPr>
          <w:sz w:val="18"/>
          <w:szCs w:val="18"/>
        </w:rPr>
        <w:t>ref-IFX</w:t>
      </w:r>
      <w:r w:rsidRPr="008919F9">
        <w:rPr>
          <w:sz w:val="18"/>
          <w:szCs w:val="18"/>
        </w:rPr>
        <w:t xml:space="preserve">, European reference infliximab; </w:t>
      </w:r>
      <w:r w:rsidR="00E8168D">
        <w:rPr>
          <w:sz w:val="18"/>
          <w:szCs w:val="18"/>
        </w:rPr>
        <w:t>PF-SZ-IFX</w:t>
      </w:r>
      <w:r w:rsidRPr="008919F9">
        <w:rPr>
          <w:sz w:val="18"/>
          <w:szCs w:val="18"/>
        </w:rPr>
        <w:t>, PF-06438179/GP1111.</w:t>
      </w:r>
      <w:r w:rsidRPr="008919F9">
        <w:rPr>
          <w:sz w:val="18"/>
          <w:szCs w:val="18"/>
        </w:rPr>
        <w:br/>
        <w:t xml:space="preserve">This figure was originally published in Cohen S, </w:t>
      </w:r>
      <w:r w:rsidR="005C1157" w:rsidRPr="005C1157">
        <w:rPr>
          <w:i/>
          <w:sz w:val="18"/>
          <w:szCs w:val="18"/>
        </w:rPr>
        <w:t>et al</w:t>
      </w:r>
      <w:r w:rsidRPr="008919F9">
        <w:rPr>
          <w:i/>
          <w:sz w:val="18"/>
          <w:szCs w:val="18"/>
        </w:rPr>
        <w:t>.</w:t>
      </w:r>
      <w:r w:rsidRPr="008919F9">
        <w:rPr>
          <w:sz w:val="18"/>
          <w:szCs w:val="18"/>
        </w:rPr>
        <w:t xml:space="preserve"> A randomized controlled trial comparing PF-06438179/GP1111 (an infliximab biosimilar) and infliximab reference product for treatment of moderate to severe</w:t>
      </w:r>
      <w:r w:rsidR="00B47589">
        <w:rPr>
          <w:sz w:val="18"/>
          <w:szCs w:val="18"/>
        </w:rPr>
        <w:t>,</w:t>
      </w:r>
      <w:r w:rsidRPr="008919F9">
        <w:rPr>
          <w:sz w:val="18"/>
          <w:szCs w:val="18"/>
        </w:rPr>
        <w:t xml:space="preserve"> active rheumatoid arthritis despite methotrexate therapy. Arthritis Res </w:t>
      </w:r>
      <w:proofErr w:type="spellStart"/>
      <w:r w:rsidRPr="008919F9">
        <w:rPr>
          <w:sz w:val="18"/>
          <w:szCs w:val="18"/>
        </w:rPr>
        <w:t>Ther</w:t>
      </w:r>
      <w:proofErr w:type="spellEnd"/>
      <w:r w:rsidRPr="008919F9">
        <w:rPr>
          <w:sz w:val="18"/>
          <w:szCs w:val="18"/>
        </w:rPr>
        <w:t xml:space="preserve"> 2018;20:155, and has been reproduced with minor changes under the terms of the Creative Commons Attribution 4.0 International License (http://creativecommons.org/licenses/by/4.0/).</w:t>
      </w:r>
    </w:p>
    <w:p w14:paraId="13016FD4" w14:textId="67A40D18" w:rsidR="00FF6F49" w:rsidRPr="00FF6F49" w:rsidRDefault="004E0B0C" w:rsidP="00FF6F49">
      <w:pPr>
        <w:keepNext/>
      </w:pPr>
      <w:r w:rsidRPr="001923E1">
        <w:rPr>
          <w:b/>
        </w:rPr>
        <w:t>Figure S2</w:t>
      </w:r>
      <w:r w:rsidRPr="001923E1">
        <w:t xml:space="preserve"> Mean change in HAQ-DI scores during TP2 (TP2 ITT population)</w:t>
      </w:r>
      <w:r w:rsidR="00FF6F49">
        <w:rPr>
          <w:noProof/>
        </w:rPr>
        <w:drawing>
          <wp:inline distT="0" distB="0" distL="0" distR="0" wp14:anchorId="19980B8C" wp14:editId="6E3A46FC">
            <wp:extent cx="4968000" cy="2797200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680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CC0BE" w14:textId="50BA9688" w:rsidR="004E0B0C" w:rsidRPr="008919F9" w:rsidRDefault="004E0B0C" w:rsidP="00BF7E8A">
      <w:pPr>
        <w:spacing w:after="0" w:line="276" w:lineRule="auto"/>
        <w:contextualSpacing/>
        <w:rPr>
          <w:b/>
        </w:rPr>
      </w:pPr>
      <w:bookmarkStart w:id="0" w:name="_GoBack"/>
      <w:bookmarkEnd w:id="0"/>
      <w:r w:rsidRPr="008919F9">
        <w:rPr>
          <w:sz w:val="18"/>
        </w:rPr>
        <w:t xml:space="preserve">HAQ-DI, Health Assessment Questionnaire </w:t>
      </w:r>
      <w:r w:rsidR="000C3449">
        <w:rPr>
          <w:sz w:val="18"/>
        </w:rPr>
        <w:t xml:space="preserve">- </w:t>
      </w:r>
      <w:r w:rsidRPr="008919F9">
        <w:rPr>
          <w:sz w:val="18"/>
        </w:rPr>
        <w:t>Disability Index</w:t>
      </w:r>
      <w:r w:rsidRPr="008919F9">
        <w:rPr>
          <w:sz w:val="18"/>
          <w:szCs w:val="18"/>
        </w:rPr>
        <w:t xml:space="preserve">; </w:t>
      </w:r>
      <w:r w:rsidR="00E8168D">
        <w:rPr>
          <w:sz w:val="18"/>
          <w:szCs w:val="18"/>
        </w:rPr>
        <w:t>ref-IFX</w:t>
      </w:r>
      <w:r w:rsidRPr="008919F9">
        <w:rPr>
          <w:sz w:val="18"/>
          <w:szCs w:val="18"/>
        </w:rPr>
        <w:t xml:space="preserve">, European reference infliximab; ITT, intent-to-treat; </w:t>
      </w:r>
      <w:r w:rsidR="00E8168D">
        <w:rPr>
          <w:sz w:val="18"/>
          <w:szCs w:val="18"/>
        </w:rPr>
        <w:t>PF-SZ-IFX</w:t>
      </w:r>
      <w:r w:rsidRPr="008919F9">
        <w:rPr>
          <w:sz w:val="18"/>
          <w:szCs w:val="18"/>
        </w:rPr>
        <w:t xml:space="preserve">, PF-06438179/GP1111; </w:t>
      </w:r>
      <w:r w:rsidRPr="008919F9">
        <w:rPr>
          <w:sz w:val="18"/>
        </w:rPr>
        <w:t xml:space="preserve">SEM, standard error of the mean; </w:t>
      </w:r>
      <w:r w:rsidRPr="008919F9">
        <w:rPr>
          <w:sz w:val="18"/>
          <w:szCs w:val="18"/>
        </w:rPr>
        <w:t xml:space="preserve">TP2, </w:t>
      </w:r>
      <w:r w:rsidR="002E0CAE" w:rsidRPr="008919F9">
        <w:rPr>
          <w:sz w:val="18"/>
          <w:szCs w:val="18"/>
        </w:rPr>
        <w:t>T</w:t>
      </w:r>
      <w:r w:rsidRPr="008919F9">
        <w:rPr>
          <w:sz w:val="18"/>
          <w:szCs w:val="18"/>
        </w:rPr>
        <w:t xml:space="preserve">reatment </w:t>
      </w:r>
      <w:r w:rsidR="002E0CAE" w:rsidRPr="008919F9">
        <w:rPr>
          <w:sz w:val="18"/>
          <w:szCs w:val="18"/>
        </w:rPr>
        <w:t>P</w:t>
      </w:r>
      <w:r w:rsidRPr="008919F9">
        <w:rPr>
          <w:sz w:val="18"/>
          <w:szCs w:val="18"/>
        </w:rPr>
        <w:t xml:space="preserve">eriod 2. </w:t>
      </w:r>
      <w:r w:rsidR="002311D5">
        <w:rPr>
          <w:b/>
        </w:rPr>
        <w:fldChar w:fldCharType="begin"/>
      </w:r>
      <w:r w:rsidR="002311D5">
        <w:rPr>
          <w:b/>
        </w:rPr>
        <w:instrText xml:space="preserve"> ADDIN </w:instrText>
      </w:r>
      <w:r w:rsidR="002311D5">
        <w:rPr>
          <w:b/>
        </w:rPr>
        <w:fldChar w:fldCharType="end"/>
      </w:r>
    </w:p>
    <w:sectPr w:rsidR="004E0B0C" w:rsidRPr="008919F9" w:rsidSect="00866088">
      <w:pgSz w:w="11906" w:h="16838"/>
      <w:pgMar w:top="1440" w:right="141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0D43B" w14:textId="77777777" w:rsidR="00F1020C" w:rsidRDefault="00F1020C" w:rsidP="003571BD">
      <w:pPr>
        <w:spacing w:after="0" w:line="240" w:lineRule="auto"/>
      </w:pPr>
      <w:r>
        <w:separator/>
      </w:r>
    </w:p>
  </w:endnote>
  <w:endnote w:type="continuationSeparator" w:id="0">
    <w:p w14:paraId="30178443" w14:textId="77777777" w:rsidR="00F1020C" w:rsidRDefault="00F1020C" w:rsidP="0035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B1436" w14:textId="77777777" w:rsidR="00F1020C" w:rsidRDefault="00F1020C">
    <w:pPr>
      <w:pStyle w:val="Footer"/>
    </w:pPr>
  </w:p>
  <w:p w14:paraId="63E3C7D0" w14:textId="77777777" w:rsidR="00F1020C" w:rsidRDefault="00F102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4330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740E2E" w14:textId="21207C90" w:rsidR="00F1020C" w:rsidRDefault="00F102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0EC87" w14:textId="77777777" w:rsidR="00F1020C" w:rsidRDefault="00F1020C">
    <w:pPr>
      <w:pStyle w:val="Footer"/>
    </w:pPr>
  </w:p>
  <w:p w14:paraId="3F072F8F" w14:textId="77777777" w:rsidR="00F1020C" w:rsidRDefault="00F102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FC20" w14:textId="77777777" w:rsidR="00F1020C" w:rsidRDefault="00F1020C" w:rsidP="003571BD">
      <w:pPr>
        <w:spacing w:after="0" w:line="240" w:lineRule="auto"/>
      </w:pPr>
      <w:r>
        <w:separator/>
      </w:r>
    </w:p>
  </w:footnote>
  <w:footnote w:type="continuationSeparator" w:id="0">
    <w:p w14:paraId="0FEE982C" w14:textId="77777777" w:rsidR="00F1020C" w:rsidRDefault="00F1020C" w:rsidP="00357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1F646" w14:textId="77777777" w:rsidR="00F1020C" w:rsidRDefault="00F1020C">
    <w:pPr>
      <w:pStyle w:val="Header"/>
    </w:pPr>
  </w:p>
  <w:p w14:paraId="6B191151" w14:textId="77777777" w:rsidR="00F1020C" w:rsidRDefault="00F102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B8040" w14:textId="798DFF78" w:rsidR="00F1020C" w:rsidRPr="006D63FE" w:rsidRDefault="00F1020C" w:rsidP="006D63FE">
    <w:pPr>
      <w:pStyle w:val="Header"/>
    </w:pPr>
  </w:p>
  <w:p w14:paraId="5E2389AA" w14:textId="77777777" w:rsidR="00F1020C" w:rsidRDefault="00F1020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10C"/>
    <w:multiLevelType w:val="hybridMultilevel"/>
    <w:tmpl w:val="3BF4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2D9E"/>
    <w:multiLevelType w:val="hybridMultilevel"/>
    <w:tmpl w:val="6F76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E0ED4"/>
    <w:multiLevelType w:val="multilevel"/>
    <w:tmpl w:val="2670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56E8B"/>
    <w:multiLevelType w:val="hybridMultilevel"/>
    <w:tmpl w:val="4814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012F0"/>
    <w:multiLevelType w:val="hybridMultilevel"/>
    <w:tmpl w:val="73EC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B22"/>
    <w:multiLevelType w:val="hybridMultilevel"/>
    <w:tmpl w:val="F9A285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5664"/>
    <w:multiLevelType w:val="hybridMultilevel"/>
    <w:tmpl w:val="A7C6D16C"/>
    <w:lvl w:ilvl="0" w:tplc="B2341308">
      <w:start w:val="1"/>
      <w:numFmt w:val="bullet"/>
      <w:pStyle w:val="NoSpac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581141"/>
    <w:multiLevelType w:val="hybridMultilevel"/>
    <w:tmpl w:val="4078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B51F6"/>
    <w:multiLevelType w:val="hybridMultilevel"/>
    <w:tmpl w:val="0C80F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26F41"/>
    <w:multiLevelType w:val="hybridMultilevel"/>
    <w:tmpl w:val="E004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2D5E"/>
    <w:multiLevelType w:val="hybridMultilevel"/>
    <w:tmpl w:val="EF04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C6F2B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12BA3"/>
    <w:multiLevelType w:val="hybridMultilevel"/>
    <w:tmpl w:val="6C821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115AF"/>
    <w:multiLevelType w:val="hybridMultilevel"/>
    <w:tmpl w:val="3642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65094"/>
    <w:multiLevelType w:val="hybridMultilevel"/>
    <w:tmpl w:val="F8905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FF0DB4"/>
    <w:multiLevelType w:val="hybridMultilevel"/>
    <w:tmpl w:val="BD04B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91307"/>
    <w:multiLevelType w:val="hybridMultilevel"/>
    <w:tmpl w:val="B044BE16"/>
    <w:lvl w:ilvl="0" w:tplc="092C5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F4D4E"/>
    <w:multiLevelType w:val="hybridMultilevel"/>
    <w:tmpl w:val="DBDC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96FC1"/>
    <w:multiLevelType w:val="hybridMultilevel"/>
    <w:tmpl w:val="3CB67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3D6210"/>
    <w:multiLevelType w:val="multilevel"/>
    <w:tmpl w:val="B58A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B211DC"/>
    <w:multiLevelType w:val="hybridMultilevel"/>
    <w:tmpl w:val="9D2AF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15"/>
  </w:num>
  <w:num w:numId="5">
    <w:abstractNumId w:val="19"/>
  </w:num>
  <w:num w:numId="6">
    <w:abstractNumId w:val="4"/>
  </w:num>
  <w:num w:numId="7">
    <w:abstractNumId w:val="18"/>
  </w:num>
  <w:num w:numId="8">
    <w:abstractNumId w:val="8"/>
  </w:num>
  <w:num w:numId="9">
    <w:abstractNumId w:val="10"/>
  </w:num>
  <w:num w:numId="10">
    <w:abstractNumId w:val="6"/>
  </w:num>
  <w:num w:numId="11">
    <w:abstractNumId w:val="1"/>
  </w:num>
  <w:num w:numId="12">
    <w:abstractNumId w:val="17"/>
  </w:num>
  <w:num w:numId="13">
    <w:abstractNumId w:val="0"/>
  </w:num>
  <w:num w:numId="14">
    <w:abstractNumId w:val="13"/>
  </w:num>
  <w:num w:numId="15">
    <w:abstractNumId w:val="17"/>
  </w:num>
  <w:num w:numId="16">
    <w:abstractNumId w:val="2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6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RMD Open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azr2pvwr5z5akewzsavpvpqpzzp5r9ftaed&quot;&gt;sarah.mcmanamon@spirit.global&lt;record-ids&gt;&lt;item&gt;10057&lt;/item&gt;&lt;item&gt;10472&lt;/item&gt;&lt;item&gt;10554&lt;/item&gt;&lt;item&gt;10555&lt;/item&gt;&lt;item&gt;10556&lt;/item&gt;&lt;item&gt;10558&lt;/item&gt;&lt;item&gt;10559&lt;/item&gt;&lt;item&gt;10560&lt;/item&gt;&lt;item&gt;10561&lt;/item&gt;&lt;item&gt;10562&lt;/item&gt;&lt;item&gt;10563&lt;/item&gt;&lt;item&gt;10564&lt;/item&gt;&lt;item&gt;10567&lt;/item&gt;&lt;item&gt;10568&lt;/item&gt;&lt;item&gt;10570&lt;/item&gt;&lt;item&gt;10571&lt;/item&gt;&lt;item&gt;10572&lt;/item&gt;&lt;item&gt;10573&lt;/item&gt;&lt;item&gt;10574&lt;/item&gt;&lt;item&gt;10575&lt;/item&gt;&lt;item&gt;10576&lt;/item&gt;&lt;item&gt;10577&lt;/item&gt;&lt;item&gt;10578&lt;/item&gt;&lt;item&gt;10579&lt;/item&gt;&lt;item&gt;10580&lt;/item&gt;&lt;item&gt;10581&lt;/item&gt;&lt;item&gt;10582&lt;/item&gt;&lt;item&gt;10583&lt;/item&gt;&lt;item&gt;10584&lt;/item&gt;&lt;item&gt;10585&lt;/item&gt;&lt;item&gt;10586&lt;/item&gt;&lt;item&gt;10587&lt;/item&gt;&lt;item&gt;10588&lt;/item&gt;&lt;item&gt;10589&lt;/item&gt;&lt;item&gt;10590&lt;/item&gt;&lt;item&gt;10591&lt;/item&gt;&lt;item&gt;10592&lt;/item&gt;&lt;item&gt;10654&lt;/item&gt;&lt;item&gt;10655&lt;/item&gt;&lt;item&gt;10656&lt;/item&gt;&lt;/record-ids&gt;&lt;/item&gt;&lt;/Libraries&gt;"/>
  </w:docVars>
  <w:rsids>
    <w:rsidRoot w:val="00CB6243"/>
    <w:rsid w:val="00000790"/>
    <w:rsid w:val="00004764"/>
    <w:rsid w:val="00010ADB"/>
    <w:rsid w:val="00010DC0"/>
    <w:rsid w:val="00013705"/>
    <w:rsid w:val="00025435"/>
    <w:rsid w:val="000262E0"/>
    <w:rsid w:val="00034D80"/>
    <w:rsid w:val="000366DE"/>
    <w:rsid w:val="000523C8"/>
    <w:rsid w:val="0005456F"/>
    <w:rsid w:val="00054900"/>
    <w:rsid w:val="00057362"/>
    <w:rsid w:val="000579A7"/>
    <w:rsid w:val="00064A62"/>
    <w:rsid w:val="0007209F"/>
    <w:rsid w:val="00073128"/>
    <w:rsid w:val="00074D82"/>
    <w:rsid w:val="00075E30"/>
    <w:rsid w:val="00077315"/>
    <w:rsid w:val="00081774"/>
    <w:rsid w:val="00082A43"/>
    <w:rsid w:val="00086B5A"/>
    <w:rsid w:val="00086F42"/>
    <w:rsid w:val="000905C8"/>
    <w:rsid w:val="0009082D"/>
    <w:rsid w:val="0009164D"/>
    <w:rsid w:val="00094481"/>
    <w:rsid w:val="00095648"/>
    <w:rsid w:val="000A0F00"/>
    <w:rsid w:val="000A1855"/>
    <w:rsid w:val="000A534F"/>
    <w:rsid w:val="000A5E25"/>
    <w:rsid w:val="000A6CE4"/>
    <w:rsid w:val="000B3DFD"/>
    <w:rsid w:val="000B69CF"/>
    <w:rsid w:val="000C3449"/>
    <w:rsid w:val="000C5D07"/>
    <w:rsid w:val="000C6B15"/>
    <w:rsid w:val="000C799B"/>
    <w:rsid w:val="000C7B4C"/>
    <w:rsid w:val="000D3B73"/>
    <w:rsid w:val="000D3E55"/>
    <w:rsid w:val="000D574D"/>
    <w:rsid w:val="000D63E6"/>
    <w:rsid w:val="000E06FD"/>
    <w:rsid w:val="000E075D"/>
    <w:rsid w:val="000E35FD"/>
    <w:rsid w:val="000E42D7"/>
    <w:rsid w:val="000E5725"/>
    <w:rsid w:val="000F3747"/>
    <w:rsid w:val="000F6819"/>
    <w:rsid w:val="000F6AE5"/>
    <w:rsid w:val="001105D4"/>
    <w:rsid w:val="00116101"/>
    <w:rsid w:val="001202DE"/>
    <w:rsid w:val="001221E2"/>
    <w:rsid w:val="00132876"/>
    <w:rsid w:val="00134B60"/>
    <w:rsid w:val="00135237"/>
    <w:rsid w:val="00136715"/>
    <w:rsid w:val="001424EA"/>
    <w:rsid w:val="00147196"/>
    <w:rsid w:val="0015262F"/>
    <w:rsid w:val="001543C2"/>
    <w:rsid w:val="001550A7"/>
    <w:rsid w:val="00156191"/>
    <w:rsid w:val="00160EEA"/>
    <w:rsid w:val="00171895"/>
    <w:rsid w:val="00177CC9"/>
    <w:rsid w:val="0018083B"/>
    <w:rsid w:val="00180E99"/>
    <w:rsid w:val="00183160"/>
    <w:rsid w:val="00183412"/>
    <w:rsid w:val="0018706B"/>
    <w:rsid w:val="001914A4"/>
    <w:rsid w:val="001923E1"/>
    <w:rsid w:val="00192E58"/>
    <w:rsid w:val="001A041A"/>
    <w:rsid w:val="001A2AFC"/>
    <w:rsid w:val="001A2CB7"/>
    <w:rsid w:val="001A33E7"/>
    <w:rsid w:val="001A45D7"/>
    <w:rsid w:val="001A5166"/>
    <w:rsid w:val="001A6A6A"/>
    <w:rsid w:val="001B1547"/>
    <w:rsid w:val="001B22BA"/>
    <w:rsid w:val="001C4238"/>
    <w:rsid w:val="001C4EC9"/>
    <w:rsid w:val="001C5271"/>
    <w:rsid w:val="001C65BA"/>
    <w:rsid w:val="001C6619"/>
    <w:rsid w:val="001D08ED"/>
    <w:rsid w:val="001D3B06"/>
    <w:rsid w:val="001D415C"/>
    <w:rsid w:val="001D6AE3"/>
    <w:rsid w:val="001E0CC4"/>
    <w:rsid w:val="001E3852"/>
    <w:rsid w:val="001E449F"/>
    <w:rsid w:val="001E4B0C"/>
    <w:rsid w:val="001F077F"/>
    <w:rsid w:val="001F7E65"/>
    <w:rsid w:val="00202A26"/>
    <w:rsid w:val="00205882"/>
    <w:rsid w:val="002062A3"/>
    <w:rsid w:val="002078C5"/>
    <w:rsid w:val="00210271"/>
    <w:rsid w:val="002118F4"/>
    <w:rsid w:val="00214645"/>
    <w:rsid w:val="00215AAD"/>
    <w:rsid w:val="00216631"/>
    <w:rsid w:val="002225EC"/>
    <w:rsid w:val="002273C8"/>
    <w:rsid w:val="002311D5"/>
    <w:rsid w:val="0023352D"/>
    <w:rsid w:val="002363AF"/>
    <w:rsid w:val="002372FE"/>
    <w:rsid w:val="00241029"/>
    <w:rsid w:val="00242D1F"/>
    <w:rsid w:val="0024345E"/>
    <w:rsid w:val="002575A5"/>
    <w:rsid w:val="002623AB"/>
    <w:rsid w:val="002634D0"/>
    <w:rsid w:val="002715BC"/>
    <w:rsid w:val="00276438"/>
    <w:rsid w:val="00285E15"/>
    <w:rsid w:val="00285E84"/>
    <w:rsid w:val="00291499"/>
    <w:rsid w:val="002920F0"/>
    <w:rsid w:val="0029238F"/>
    <w:rsid w:val="002950AE"/>
    <w:rsid w:val="002A61EA"/>
    <w:rsid w:val="002A682E"/>
    <w:rsid w:val="002B0689"/>
    <w:rsid w:val="002B3F6B"/>
    <w:rsid w:val="002B4233"/>
    <w:rsid w:val="002B6321"/>
    <w:rsid w:val="002B713B"/>
    <w:rsid w:val="002C5BA1"/>
    <w:rsid w:val="002D1926"/>
    <w:rsid w:val="002D1DD1"/>
    <w:rsid w:val="002D25AF"/>
    <w:rsid w:val="002D4BE2"/>
    <w:rsid w:val="002E0CAE"/>
    <w:rsid w:val="002E2A98"/>
    <w:rsid w:val="002E5989"/>
    <w:rsid w:val="002E7DB9"/>
    <w:rsid w:val="002F3CAD"/>
    <w:rsid w:val="002F7ACF"/>
    <w:rsid w:val="002F7D41"/>
    <w:rsid w:val="002F7E76"/>
    <w:rsid w:val="002F7EB9"/>
    <w:rsid w:val="00300C70"/>
    <w:rsid w:val="003067E1"/>
    <w:rsid w:val="003118E0"/>
    <w:rsid w:val="00312285"/>
    <w:rsid w:val="00315F4E"/>
    <w:rsid w:val="00317632"/>
    <w:rsid w:val="00321E7B"/>
    <w:rsid w:val="003226C1"/>
    <w:rsid w:val="00322AAD"/>
    <w:rsid w:val="00324ACD"/>
    <w:rsid w:val="00327733"/>
    <w:rsid w:val="0033554E"/>
    <w:rsid w:val="00335B2A"/>
    <w:rsid w:val="0034167F"/>
    <w:rsid w:val="003446E2"/>
    <w:rsid w:val="00345144"/>
    <w:rsid w:val="00345980"/>
    <w:rsid w:val="00347A1E"/>
    <w:rsid w:val="00352D81"/>
    <w:rsid w:val="00354C8F"/>
    <w:rsid w:val="00355A09"/>
    <w:rsid w:val="00356775"/>
    <w:rsid w:val="003571BD"/>
    <w:rsid w:val="00357AEE"/>
    <w:rsid w:val="0036438D"/>
    <w:rsid w:val="003647C6"/>
    <w:rsid w:val="00370EA6"/>
    <w:rsid w:val="003742BE"/>
    <w:rsid w:val="003769EF"/>
    <w:rsid w:val="003779FC"/>
    <w:rsid w:val="0038190D"/>
    <w:rsid w:val="00381C5F"/>
    <w:rsid w:val="003836FD"/>
    <w:rsid w:val="00387D89"/>
    <w:rsid w:val="003918A5"/>
    <w:rsid w:val="003922CE"/>
    <w:rsid w:val="00392679"/>
    <w:rsid w:val="00392AB8"/>
    <w:rsid w:val="00392DC8"/>
    <w:rsid w:val="00393469"/>
    <w:rsid w:val="003A364E"/>
    <w:rsid w:val="003A3F43"/>
    <w:rsid w:val="003B1138"/>
    <w:rsid w:val="003B279A"/>
    <w:rsid w:val="003B2EA6"/>
    <w:rsid w:val="003B55C5"/>
    <w:rsid w:val="003B562F"/>
    <w:rsid w:val="003B69C0"/>
    <w:rsid w:val="003B7D53"/>
    <w:rsid w:val="003C0E3A"/>
    <w:rsid w:val="003C0E67"/>
    <w:rsid w:val="003C223D"/>
    <w:rsid w:val="003C5FF6"/>
    <w:rsid w:val="003C6E7E"/>
    <w:rsid w:val="003D2364"/>
    <w:rsid w:val="003D44BD"/>
    <w:rsid w:val="003D5078"/>
    <w:rsid w:val="003E1EB8"/>
    <w:rsid w:val="003E520F"/>
    <w:rsid w:val="003E58C6"/>
    <w:rsid w:val="003F29DE"/>
    <w:rsid w:val="003F2A8F"/>
    <w:rsid w:val="003F4CEA"/>
    <w:rsid w:val="003F507D"/>
    <w:rsid w:val="003F6208"/>
    <w:rsid w:val="00403D43"/>
    <w:rsid w:val="004045C7"/>
    <w:rsid w:val="0040642A"/>
    <w:rsid w:val="004161E6"/>
    <w:rsid w:val="00420200"/>
    <w:rsid w:val="00422755"/>
    <w:rsid w:val="004261F9"/>
    <w:rsid w:val="00426AC7"/>
    <w:rsid w:val="00427BC9"/>
    <w:rsid w:val="0043612A"/>
    <w:rsid w:val="0044162C"/>
    <w:rsid w:val="00442A78"/>
    <w:rsid w:val="00455190"/>
    <w:rsid w:val="00457FA1"/>
    <w:rsid w:val="004609E8"/>
    <w:rsid w:val="00467D80"/>
    <w:rsid w:val="004730BB"/>
    <w:rsid w:val="0047494C"/>
    <w:rsid w:val="00475B2D"/>
    <w:rsid w:val="00476258"/>
    <w:rsid w:val="00481A89"/>
    <w:rsid w:val="00482328"/>
    <w:rsid w:val="004837DE"/>
    <w:rsid w:val="004846D6"/>
    <w:rsid w:val="00490073"/>
    <w:rsid w:val="004949DB"/>
    <w:rsid w:val="00497B82"/>
    <w:rsid w:val="004A2FA4"/>
    <w:rsid w:val="004A6FED"/>
    <w:rsid w:val="004A7056"/>
    <w:rsid w:val="004B2C0E"/>
    <w:rsid w:val="004B37CA"/>
    <w:rsid w:val="004B4426"/>
    <w:rsid w:val="004B464B"/>
    <w:rsid w:val="004C15A4"/>
    <w:rsid w:val="004C2875"/>
    <w:rsid w:val="004C30F2"/>
    <w:rsid w:val="004C4B09"/>
    <w:rsid w:val="004D0317"/>
    <w:rsid w:val="004D1240"/>
    <w:rsid w:val="004D3274"/>
    <w:rsid w:val="004D5376"/>
    <w:rsid w:val="004E0B0C"/>
    <w:rsid w:val="004E0B74"/>
    <w:rsid w:val="004E1B71"/>
    <w:rsid w:val="004E3B34"/>
    <w:rsid w:val="004E7011"/>
    <w:rsid w:val="00502308"/>
    <w:rsid w:val="005046F6"/>
    <w:rsid w:val="00504A5F"/>
    <w:rsid w:val="00512935"/>
    <w:rsid w:val="00523356"/>
    <w:rsid w:val="00524A8E"/>
    <w:rsid w:val="00526939"/>
    <w:rsid w:val="00532338"/>
    <w:rsid w:val="0053699C"/>
    <w:rsid w:val="00540015"/>
    <w:rsid w:val="005420D2"/>
    <w:rsid w:val="005428C9"/>
    <w:rsid w:val="00543CD0"/>
    <w:rsid w:val="00545C0C"/>
    <w:rsid w:val="0055046C"/>
    <w:rsid w:val="0055075F"/>
    <w:rsid w:val="00555378"/>
    <w:rsid w:val="00561879"/>
    <w:rsid w:val="005627C3"/>
    <w:rsid w:val="00567D93"/>
    <w:rsid w:val="00570A6A"/>
    <w:rsid w:val="005750F9"/>
    <w:rsid w:val="00575378"/>
    <w:rsid w:val="00575580"/>
    <w:rsid w:val="00576C38"/>
    <w:rsid w:val="00577EEA"/>
    <w:rsid w:val="00581794"/>
    <w:rsid w:val="005818D9"/>
    <w:rsid w:val="00583936"/>
    <w:rsid w:val="005851E0"/>
    <w:rsid w:val="005859BB"/>
    <w:rsid w:val="00594330"/>
    <w:rsid w:val="00595D4B"/>
    <w:rsid w:val="00597FDD"/>
    <w:rsid w:val="005A140B"/>
    <w:rsid w:val="005A3A95"/>
    <w:rsid w:val="005A64E2"/>
    <w:rsid w:val="005C0404"/>
    <w:rsid w:val="005C1157"/>
    <w:rsid w:val="005C1E5F"/>
    <w:rsid w:val="005C4FD9"/>
    <w:rsid w:val="005C7947"/>
    <w:rsid w:val="005D4074"/>
    <w:rsid w:val="005D5D53"/>
    <w:rsid w:val="005E4EA4"/>
    <w:rsid w:val="005E7C57"/>
    <w:rsid w:val="005F15CD"/>
    <w:rsid w:val="005F1EB4"/>
    <w:rsid w:val="005F296B"/>
    <w:rsid w:val="00604FB3"/>
    <w:rsid w:val="0060547B"/>
    <w:rsid w:val="00605D0C"/>
    <w:rsid w:val="00610A0F"/>
    <w:rsid w:val="00611F3E"/>
    <w:rsid w:val="00614264"/>
    <w:rsid w:val="00614912"/>
    <w:rsid w:val="0061497B"/>
    <w:rsid w:val="00617551"/>
    <w:rsid w:val="00620352"/>
    <w:rsid w:val="00624BE1"/>
    <w:rsid w:val="006273AB"/>
    <w:rsid w:val="0063542F"/>
    <w:rsid w:val="006367DC"/>
    <w:rsid w:val="00637EA8"/>
    <w:rsid w:val="00640126"/>
    <w:rsid w:val="00640CD6"/>
    <w:rsid w:val="00643C1B"/>
    <w:rsid w:val="00647A4E"/>
    <w:rsid w:val="006516F0"/>
    <w:rsid w:val="006525EA"/>
    <w:rsid w:val="006559A7"/>
    <w:rsid w:val="00661EA3"/>
    <w:rsid w:val="006646E0"/>
    <w:rsid w:val="00664ADB"/>
    <w:rsid w:val="00665CF0"/>
    <w:rsid w:val="006660F3"/>
    <w:rsid w:val="0066712F"/>
    <w:rsid w:val="0067091D"/>
    <w:rsid w:val="006713DA"/>
    <w:rsid w:val="00675074"/>
    <w:rsid w:val="0068268C"/>
    <w:rsid w:val="006827D6"/>
    <w:rsid w:val="00690F61"/>
    <w:rsid w:val="00691185"/>
    <w:rsid w:val="00694A3C"/>
    <w:rsid w:val="00697A56"/>
    <w:rsid w:val="006A11D4"/>
    <w:rsid w:val="006A1748"/>
    <w:rsid w:val="006B096D"/>
    <w:rsid w:val="006B1C6C"/>
    <w:rsid w:val="006B2378"/>
    <w:rsid w:val="006B3705"/>
    <w:rsid w:val="006B7B6C"/>
    <w:rsid w:val="006C53C6"/>
    <w:rsid w:val="006C702B"/>
    <w:rsid w:val="006D00E8"/>
    <w:rsid w:val="006D14C3"/>
    <w:rsid w:val="006D1E4D"/>
    <w:rsid w:val="006D5DC2"/>
    <w:rsid w:val="006D63FE"/>
    <w:rsid w:val="006D719B"/>
    <w:rsid w:val="006E0505"/>
    <w:rsid w:val="006F0394"/>
    <w:rsid w:val="006F3977"/>
    <w:rsid w:val="006F3B8A"/>
    <w:rsid w:val="006F687A"/>
    <w:rsid w:val="00700E95"/>
    <w:rsid w:val="00702A99"/>
    <w:rsid w:val="0070423E"/>
    <w:rsid w:val="0070451F"/>
    <w:rsid w:val="007060B3"/>
    <w:rsid w:val="0071304F"/>
    <w:rsid w:val="00720273"/>
    <w:rsid w:val="00720EEC"/>
    <w:rsid w:val="00721B22"/>
    <w:rsid w:val="00721B4E"/>
    <w:rsid w:val="00725290"/>
    <w:rsid w:val="00727C36"/>
    <w:rsid w:val="00740205"/>
    <w:rsid w:val="00740B06"/>
    <w:rsid w:val="00746EDE"/>
    <w:rsid w:val="007500A3"/>
    <w:rsid w:val="00751287"/>
    <w:rsid w:val="00751AD8"/>
    <w:rsid w:val="007526A3"/>
    <w:rsid w:val="007606A6"/>
    <w:rsid w:val="00760B5B"/>
    <w:rsid w:val="0077023E"/>
    <w:rsid w:val="00771111"/>
    <w:rsid w:val="00771821"/>
    <w:rsid w:val="00773A54"/>
    <w:rsid w:val="007803F3"/>
    <w:rsid w:val="00782209"/>
    <w:rsid w:val="00782BB7"/>
    <w:rsid w:val="0078413D"/>
    <w:rsid w:val="00784801"/>
    <w:rsid w:val="00785DFC"/>
    <w:rsid w:val="00790FA8"/>
    <w:rsid w:val="00791E5B"/>
    <w:rsid w:val="00793D78"/>
    <w:rsid w:val="00795FB5"/>
    <w:rsid w:val="007A2AC5"/>
    <w:rsid w:val="007A2DEB"/>
    <w:rsid w:val="007A3530"/>
    <w:rsid w:val="007A6492"/>
    <w:rsid w:val="007B37C9"/>
    <w:rsid w:val="007B6E74"/>
    <w:rsid w:val="007C3026"/>
    <w:rsid w:val="007C3193"/>
    <w:rsid w:val="007C41E8"/>
    <w:rsid w:val="007C5069"/>
    <w:rsid w:val="007C5433"/>
    <w:rsid w:val="007C6C35"/>
    <w:rsid w:val="007D0E82"/>
    <w:rsid w:val="007D4DDF"/>
    <w:rsid w:val="007D5F5F"/>
    <w:rsid w:val="007D5FD6"/>
    <w:rsid w:val="007E279A"/>
    <w:rsid w:val="007E52B2"/>
    <w:rsid w:val="007F340C"/>
    <w:rsid w:val="007F4555"/>
    <w:rsid w:val="007F6228"/>
    <w:rsid w:val="007F7CDD"/>
    <w:rsid w:val="0080041E"/>
    <w:rsid w:val="008069E0"/>
    <w:rsid w:val="008070FF"/>
    <w:rsid w:val="00810DBD"/>
    <w:rsid w:val="00811386"/>
    <w:rsid w:val="0081204C"/>
    <w:rsid w:val="00816622"/>
    <w:rsid w:val="008210A0"/>
    <w:rsid w:val="00823222"/>
    <w:rsid w:val="0082361C"/>
    <w:rsid w:val="00831B2A"/>
    <w:rsid w:val="00836553"/>
    <w:rsid w:val="008426B2"/>
    <w:rsid w:val="00844D2B"/>
    <w:rsid w:val="00845498"/>
    <w:rsid w:val="00845E7C"/>
    <w:rsid w:val="00846D4B"/>
    <w:rsid w:val="00847457"/>
    <w:rsid w:val="0085013D"/>
    <w:rsid w:val="00855586"/>
    <w:rsid w:val="008617B2"/>
    <w:rsid w:val="00863775"/>
    <w:rsid w:val="00864C22"/>
    <w:rsid w:val="00866088"/>
    <w:rsid w:val="0087394F"/>
    <w:rsid w:val="00875434"/>
    <w:rsid w:val="00880571"/>
    <w:rsid w:val="00884C56"/>
    <w:rsid w:val="008863DE"/>
    <w:rsid w:val="00887DB0"/>
    <w:rsid w:val="008919F9"/>
    <w:rsid w:val="008930D5"/>
    <w:rsid w:val="00895519"/>
    <w:rsid w:val="008A2995"/>
    <w:rsid w:val="008A2A64"/>
    <w:rsid w:val="008A35D3"/>
    <w:rsid w:val="008A5D84"/>
    <w:rsid w:val="008B09A1"/>
    <w:rsid w:val="008B3E6E"/>
    <w:rsid w:val="008B7993"/>
    <w:rsid w:val="008C4C1E"/>
    <w:rsid w:val="008C790C"/>
    <w:rsid w:val="008C7F02"/>
    <w:rsid w:val="008D3E58"/>
    <w:rsid w:val="008D45DA"/>
    <w:rsid w:val="008D6F91"/>
    <w:rsid w:val="008D7080"/>
    <w:rsid w:val="008E0BEC"/>
    <w:rsid w:val="008E348A"/>
    <w:rsid w:val="008E692B"/>
    <w:rsid w:val="008F0AA2"/>
    <w:rsid w:val="008F3DD8"/>
    <w:rsid w:val="008F6680"/>
    <w:rsid w:val="00901282"/>
    <w:rsid w:val="00911A88"/>
    <w:rsid w:val="009179C2"/>
    <w:rsid w:val="0092244D"/>
    <w:rsid w:val="0092499E"/>
    <w:rsid w:val="009301C8"/>
    <w:rsid w:val="00930A90"/>
    <w:rsid w:val="00930E58"/>
    <w:rsid w:val="009332C1"/>
    <w:rsid w:val="00934BF7"/>
    <w:rsid w:val="009351FF"/>
    <w:rsid w:val="00937FFB"/>
    <w:rsid w:val="009427DA"/>
    <w:rsid w:val="00945108"/>
    <w:rsid w:val="00946B45"/>
    <w:rsid w:val="009505A3"/>
    <w:rsid w:val="00955259"/>
    <w:rsid w:val="00961A40"/>
    <w:rsid w:val="00961B96"/>
    <w:rsid w:val="009622C3"/>
    <w:rsid w:val="009642FB"/>
    <w:rsid w:val="00965A2B"/>
    <w:rsid w:val="00965C1C"/>
    <w:rsid w:val="00967CED"/>
    <w:rsid w:val="00970C36"/>
    <w:rsid w:val="00971060"/>
    <w:rsid w:val="009743CF"/>
    <w:rsid w:val="009747F4"/>
    <w:rsid w:val="00982AE0"/>
    <w:rsid w:val="00990983"/>
    <w:rsid w:val="00990EE3"/>
    <w:rsid w:val="009928B7"/>
    <w:rsid w:val="00995AB4"/>
    <w:rsid w:val="00997B16"/>
    <w:rsid w:val="009A45D7"/>
    <w:rsid w:val="009A7045"/>
    <w:rsid w:val="009A79C4"/>
    <w:rsid w:val="009A7AB9"/>
    <w:rsid w:val="009B4F98"/>
    <w:rsid w:val="009C3B73"/>
    <w:rsid w:val="009C4ED9"/>
    <w:rsid w:val="009D7289"/>
    <w:rsid w:val="009E16AD"/>
    <w:rsid w:val="009E2052"/>
    <w:rsid w:val="009F0CEB"/>
    <w:rsid w:val="00A00056"/>
    <w:rsid w:val="00A04FB1"/>
    <w:rsid w:val="00A106C6"/>
    <w:rsid w:val="00A112FA"/>
    <w:rsid w:val="00A11C4D"/>
    <w:rsid w:val="00A137CB"/>
    <w:rsid w:val="00A20212"/>
    <w:rsid w:val="00A25719"/>
    <w:rsid w:val="00A261DD"/>
    <w:rsid w:val="00A26B62"/>
    <w:rsid w:val="00A27641"/>
    <w:rsid w:val="00A361F9"/>
    <w:rsid w:val="00A36228"/>
    <w:rsid w:val="00A3686C"/>
    <w:rsid w:val="00A43671"/>
    <w:rsid w:val="00A43CF8"/>
    <w:rsid w:val="00A53E9F"/>
    <w:rsid w:val="00A55C1C"/>
    <w:rsid w:val="00A63F19"/>
    <w:rsid w:val="00A77041"/>
    <w:rsid w:val="00A82D70"/>
    <w:rsid w:val="00A84990"/>
    <w:rsid w:val="00A85BC6"/>
    <w:rsid w:val="00A86CBA"/>
    <w:rsid w:val="00A90E1C"/>
    <w:rsid w:val="00A97BAB"/>
    <w:rsid w:val="00AA6111"/>
    <w:rsid w:val="00AA7B0E"/>
    <w:rsid w:val="00AB08C7"/>
    <w:rsid w:val="00AB2339"/>
    <w:rsid w:val="00AC3E06"/>
    <w:rsid w:val="00AC683D"/>
    <w:rsid w:val="00AE0464"/>
    <w:rsid w:val="00AE0BA0"/>
    <w:rsid w:val="00AE7ECA"/>
    <w:rsid w:val="00AF14C3"/>
    <w:rsid w:val="00AF1B75"/>
    <w:rsid w:val="00AF2384"/>
    <w:rsid w:val="00AF2A4B"/>
    <w:rsid w:val="00AF32B2"/>
    <w:rsid w:val="00AF7FEC"/>
    <w:rsid w:val="00B07574"/>
    <w:rsid w:val="00B10D5E"/>
    <w:rsid w:val="00B14153"/>
    <w:rsid w:val="00B151B9"/>
    <w:rsid w:val="00B23237"/>
    <w:rsid w:val="00B23665"/>
    <w:rsid w:val="00B247B2"/>
    <w:rsid w:val="00B259F5"/>
    <w:rsid w:val="00B26CAB"/>
    <w:rsid w:val="00B344EA"/>
    <w:rsid w:val="00B377FE"/>
    <w:rsid w:val="00B43955"/>
    <w:rsid w:val="00B43A49"/>
    <w:rsid w:val="00B47589"/>
    <w:rsid w:val="00B51B4E"/>
    <w:rsid w:val="00B524C8"/>
    <w:rsid w:val="00B66929"/>
    <w:rsid w:val="00B67D55"/>
    <w:rsid w:val="00B771E1"/>
    <w:rsid w:val="00B85858"/>
    <w:rsid w:val="00B8643A"/>
    <w:rsid w:val="00B93FAB"/>
    <w:rsid w:val="00B95633"/>
    <w:rsid w:val="00BB5AE0"/>
    <w:rsid w:val="00BB7C3F"/>
    <w:rsid w:val="00BC29F4"/>
    <w:rsid w:val="00BC2A37"/>
    <w:rsid w:val="00BE061C"/>
    <w:rsid w:val="00BE0D48"/>
    <w:rsid w:val="00BF0819"/>
    <w:rsid w:val="00BF233E"/>
    <w:rsid w:val="00BF4CFD"/>
    <w:rsid w:val="00BF5FE4"/>
    <w:rsid w:val="00BF6BE1"/>
    <w:rsid w:val="00BF78A0"/>
    <w:rsid w:val="00BF7E8A"/>
    <w:rsid w:val="00BF7F4B"/>
    <w:rsid w:val="00C0258A"/>
    <w:rsid w:val="00C108AB"/>
    <w:rsid w:val="00C12C80"/>
    <w:rsid w:val="00C130F1"/>
    <w:rsid w:val="00C204BA"/>
    <w:rsid w:val="00C23FAE"/>
    <w:rsid w:val="00C24A40"/>
    <w:rsid w:val="00C27473"/>
    <w:rsid w:val="00C335A3"/>
    <w:rsid w:val="00C33FA9"/>
    <w:rsid w:val="00C44476"/>
    <w:rsid w:val="00C449AD"/>
    <w:rsid w:val="00C46A60"/>
    <w:rsid w:val="00C476AF"/>
    <w:rsid w:val="00C538B2"/>
    <w:rsid w:val="00C73DFB"/>
    <w:rsid w:val="00C74B8F"/>
    <w:rsid w:val="00C75B4D"/>
    <w:rsid w:val="00C7723D"/>
    <w:rsid w:val="00C81F40"/>
    <w:rsid w:val="00C83074"/>
    <w:rsid w:val="00C85BFD"/>
    <w:rsid w:val="00C86358"/>
    <w:rsid w:val="00C8691A"/>
    <w:rsid w:val="00C875A0"/>
    <w:rsid w:val="00C87FFA"/>
    <w:rsid w:val="00C90043"/>
    <w:rsid w:val="00C92BD0"/>
    <w:rsid w:val="00C9561E"/>
    <w:rsid w:val="00CA223A"/>
    <w:rsid w:val="00CA326E"/>
    <w:rsid w:val="00CA4A46"/>
    <w:rsid w:val="00CA68AD"/>
    <w:rsid w:val="00CA70D5"/>
    <w:rsid w:val="00CB15D9"/>
    <w:rsid w:val="00CB4F75"/>
    <w:rsid w:val="00CB6243"/>
    <w:rsid w:val="00CB7D53"/>
    <w:rsid w:val="00CC367B"/>
    <w:rsid w:val="00CC4AE4"/>
    <w:rsid w:val="00CC52BD"/>
    <w:rsid w:val="00CD3DAF"/>
    <w:rsid w:val="00CD4989"/>
    <w:rsid w:val="00CF0323"/>
    <w:rsid w:val="00CF21D8"/>
    <w:rsid w:val="00CF260C"/>
    <w:rsid w:val="00CF6789"/>
    <w:rsid w:val="00D0037D"/>
    <w:rsid w:val="00D003E9"/>
    <w:rsid w:val="00D17500"/>
    <w:rsid w:val="00D211D4"/>
    <w:rsid w:val="00D23548"/>
    <w:rsid w:val="00D2513B"/>
    <w:rsid w:val="00D26ACF"/>
    <w:rsid w:val="00D26B1F"/>
    <w:rsid w:val="00D26E87"/>
    <w:rsid w:val="00D32F9C"/>
    <w:rsid w:val="00D43CEF"/>
    <w:rsid w:val="00D46BDD"/>
    <w:rsid w:val="00D5058F"/>
    <w:rsid w:val="00D53A3B"/>
    <w:rsid w:val="00D54A96"/>
    <w:rsid w:val="00D5536A"/>
    <w:rsid w:val="00D60B72"/>
    <w:rsid w:val="00D6183D"/>
    <w:rsid w:val="00D62242"/>
    <w:rsid w:val="00D634AA"/>
    <w:rsid w:val="00D63D46"/>
    <w:rsid w:val="00D65985"/>
    <w:rsid w:val="00D66851"/>
    <w:rsid w:val="00D671B3"/>
    <w:rsid w:val="00D76EB7"/>
    <w:rsid w:val="00D81C98"/>
    <w:rsid w:val="00D83A3E"/>
    <w:rsid w:val="00D84ED5"/>
    <w:rsid w:val="00D924A7"/>
    <w:rsid w:val="00D94295"/>
    <w:rsid w:val="00D958FB"/>
    <w:rsid w:val="00D963DC"/>
    <w:rsid w:val="00D968AD"/>
    <w:rsid w:val="00DA0725"/>
    <w:rsid w:val="00DA2E2C"/>
    <w:rsid w:val="00DB04B7"/>
    <w:rsid w:val="00DB529B"/>
    <w:rsid w:val="00DB5C9B"/>
    <w:rsid w:val="00DC1860"/>
    <w:rsid w:val="00DC1E9E"/>
    <w:rsid w:val="00DC2B4F"/>
    <w:rsid w:val="00DC3DD8"/>
    <w:rsid w:val="00DC7990"/>
    <w:rsid w:val="00DD1A7A"/>
    <w:rsid w:val="00DD4292"/>
    <w:rsid w:val="00DD650A"/>
    <w:rsid w:val="00DE2494"/>
    <w:rsid w:val="00DE6291"/>
    <w:rsid w:val="00DF50C7"/>
    <w:rsid w:val="00DF5589"/>
    <w:rsid w:val="00DF5AC3"/>
    <w:rsid w:val="00E0373F"/>
    <w:rsid w:val="00E04D6E"/>
    <w:rsid w:val="00E05998"/>
    <w:rsid w:val="00E05A51"/>
    <w:rsid w:val="00E11CA4"/>
    <w:rsid w:val="00E13FB4"/>
    <w:rsid w:val="00E16BAA"/>
    <w:rsid w:val="00E2027D"/>
    <w:rsid w:val="00E21794"/>
    <w:rsid w:val="00E25601"/>
    <w:rsid w:val="00E30774"/>
    <w:rsid w:val="00E32B8D"/>
    <w:rsid w:val="00E41875"/>
    <w:rsid w:val="00E421E0"/>
    <w:rsid w:val="00E442E3"/>
    <w:rsid w:val="00E544A5"/>
    <w:rsid w:val="00E56150"/>
    <w:rsid w:val="00E62B71"/>
    <w:rsid w:val="00E70981"/>
    <w:rsid w:val="00E763BF"/>
    <w:rsid w:val="00E7793A"/>
    <w:rsid w:val="00E8168D"/>
    <w:rsid w:val="00E83B7D"/>
    <w:rsid w:val="00E95D20"/>
    <w:rsid w:val="00EA4491"/>
    <w:rsid w:val="00EA52AE"/>
    <w:rsid w:val="00EB3813"/>
    <w:rsid w:val="00EB4B3C"/>
    <w:rsid w:val="00EB582A"/>
    <w:rsid w:val="00EC2D58"/>
    <w:rsid w:val="00EC4ACD"/>
    <w:rsid w:val="00ED1A8C"/>
    <w:rsid w:val="00ED69A8"/>
    <w:rsid w:val="00ED7FD4"/>
    <w:rsid w:val="00EE019C"/>
    <w:rsid w:val="00EE478C"/>
    <w:rsid w:val="00EF0268"/>
    <w:rsid w:val="00EF22EA"/>
    <w:rsid w:val="00F03760"/>
    <w:rsid w:val="00F03F95"/>
    <w:rsid w:val="00F04205"/>
    <w:rsid w:val="00F054F9"/>
    <w:rsid w:val="00F063CE"/>
    <w:rsid w:val="00F1020C"/>
    <w:rsid w:val="00F16799"/>
    <w:rsid w:val="00F1703D"/>
    <w:rsid w:val="00F21866"/>
    <w:rsid w:val="00F2338C"/>
    <w:rsid w:val="00F25149"/>
    <w:rsid w:val="00F25927"/>
    <w:rsid w:val="00F263A6"/>
    <w:rsid w:val="00F27B63"/>
    <w:rsid w:val="00F3052C"/>
    <w:rsid w:val="00F32F65"/>
    <w:rsid w:val="00F342A2"/>
    <w:rsid w:val="00F36CD4"/>
    <w:rsid w:val="00F4296E"/>
    <w:rsid w:val="00F44B2D"/>
    <w:rsid w:val="00F57400"/>
    <w:rsid w:val="00F57688"/>
    <w:rsid w:val="00F60A58"/>
    <w:rsid w:val="00F6658F"/>
    <w:rsid w:val="00F6687B"/>
    <w:rsid w:val="00F67181"/>
    <w:rsid w:val="00F67CA6"/>
    <w:rsid w:val="00F71931"/>
    <w:rsid w:val="00F75063"/>
    <w:rsid w:val="00F754A7"/>
    <w:rsid w:val="00F828FC"/>
    <w:rsid w:val="00F867AE"/>
    <w:rsid w:val="00F90775"/>
    <w:rsid w:val="00F90A36"/>
    <w:rsid w:val="00F91F0E"/>
    <w:rsid w:val="00F93B6F"/>
    <w:rsid w:val="00F95364"/>
    <w:rsid w:val="00F95C10"/>
    <w:rsid w:val="00F978EF"/>
    <w:rsid w:val="00FA1A0C"/>
    <w:rsid w:val="00FA5B85"/>
    <w:rsid w:val="00FB1B46"/>
    <w:rsid w:val="00FB3A04"/>
    <w:rsid w:val="00FC1A5F"/>
    <w:rsid w:val="00FC2108"/>
    <w:rsid w:val="00FC26B6"/>
    <w:rsid w:val="00FC7316"/>
    <w:rsid w:val="00FC7D7F"/>
    <w:rsid w:val="00FD14F3"/>
    <w:rsid w:val="00FD2587"/>
    <w:rsid w:val="00FD653A"/>
    <w:rsid w:val="00FD707C"/>
    <w:rsid w:val="00FE0FDD"/>
    <w:rsid w:val="00FE4A00"/>
    <w:rsid w:val="00FE5001"/>
    <w:rsid w:val="00FF1101"/>
    <w:rsid w:val="00FF2E6A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8225"/>
  <w15:chartTrackingRefBased/>
  <w15:docId w15:val="{A07DBAD8-2E6A-4D5B-BB80-F39E5596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243"/>
    <w:pPr>
      <w:spacing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5F4E"/>
    <w:pPr>
      <w:keepNext/>
      <w:keepLines/>
      <w:spacing w:before="240" w:after="240"/>
      <w:outlineLvl w:val="0"/>
    </w:pPr>
    <w:rPr>
      <w:rFonts w:eastAsiaTheme="majorEastAsia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243"/>
    <w:pPr>
      <w:keepNext/>
      <w:keepLines/>
      <w:spacing w:before="12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5F4E"/>
    <w:pPr>
      <w:keepNext/>
      <w:keepLines/>
      <w:spacing w:before="40" w:after="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2875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2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5F4E"/>
    <w:rPr>
      <w:rFonts w:ascii="Arial" w:eastAsiaTheme="majorEastAsia" w:hAnsi="Arial" w:cs="Arial"/>
      <w:b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6243"/>
    <w:rPr>
      <w:rFonts w:ascii="Arial" w:eastAsiaTheme="majorEastAsia" w:hAnsi="Arial" w:cs="Arial"/>
      <w:b/>
      <w:sz w:val="24"/>
      <w:szCs w:val="26"/>
    </w:rPr>
  </w:style>
  <w:style w:type="paragraph" w:styleId="NoSpacing">
    <w:name w:val="No Spacing"/>
    <w:basedOn w:val="ListParagraph"/>
    <w:uiPriority w:val="1"/>
    <w:qFormat/>
    <w:rsid w:val="00F75063"/>
    <w:pPr>
      <w:numPr>
        <w:numId w:val="10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315F4E"/>
    <w:rPr>
      <w:rFonts w:ascii="Arial" w:eastAsiaTheme="majorEastAsia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C2875"/>
    <w:rPr>
      <w:rFonts w:ascii="Arial" w:eastAsiaTheme="majorEastAsia" w:hAnsi="Arial" w:cs="Arial"/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7060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60B3"/>
    <w:rPr>
      <w:rFonts w:ascii="Arial" w:hAnsi="Arial" w:cs="Arial"/>
      <w:sz w:val="20"/>
      <w:szCs w:val="20"/>
    </w:rPr>
  </w:style>
  <w:style w:type="character" w:customStyle="1" w:styleId="AuthorlistChar">
    <w:name w:val="Author list Char"/>
    <w:basedOn w:val="DefaultParagraphFont"/>
    <w:link w:val="Authorlist"/>
    <w:locked/>
    <w:rsid w:val="007060B3"/>
    <w:rPr>
      <w:rFonts w:ascii="Arial" w:hAnsi="Arial" w:cs="Arial"/>
    </w:rPr>
  </w:style>
  <w:style w:type="paragraph" w:customStyle="1" w:styleId="Authorlist">
    <w:name w:val="Author list"/>
    <w:basedOn w:val="Normal"/>
    <w:link w:val="AuthorlistChar"/>
    <w:qFormat/>
    <w:rsid w:val="007060B3"/>
  </w:style>
  <w:style w:type="character" w:customStyle="1" w:styleId="AuthoraffiliationsChar">
    <w:name w:val="Author affiliations Char"/>
    <w:basedOn w:val="AuthorlistChar"/>
    <w:link w:val="Authoraffiliations"/>
    <w:locked/>
    <w:rsid w:val="007060B3"/>
    <w:rPr>
      <w:rFonts w:ascii="Arial" w:hAnsi="Arial" w:cs="Arial"/>
      <w:i/>
    </w:rPr>
  </w:style>
  <w:style w:type="paragraph" w:customStyle="1" w:styleId="Authoraffiliations">
    <w:name w:val="Author affiliations"/>
    <w:basedOn w:val="Authorlist"/>
    <w:link w:val="AuthoraffiliationsChar"/>
    <w:qFormat/>
    <w:rsid w:val="007060B3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7060B3"/>
    <w:rPr>
      <w:sz w:val="16"/>
      <w:szCs w:val="16"/>
    </w:rPr>
  </w:style>
  <w:style w:type="table" w:styleId="TableGrid">
    <w:name w:val="Table Grid"/>
    <w:basedOn w:val="TableNormal"/>
    <w:uiPriority w:val="39"/>
    <w:rsid w:val="0070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BD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57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BD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324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24ACD"/>
    <w:rPr>
      <w:b/>
      <w:bCs/>
    </w:rPr>
  </w:style>
  <w:style w:type="character" w:styleId="Hyperlink">
    <w:name w:val="Hyperlink"/>
    <w:basedOn w:val="DefaultParagraphFont"/>
    <w:uiPriority w:val="99"/>
    <w:unhideWhenUsed/>
    <w:rsid w:val="001105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105D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6F"/>
    <w:rPr>
      <w:rFonts w:ascii="Arial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8"/>
    <w:rPr>
      <w:color w:val="808080"/>
      <w:shd w:val="clear" w:color="auto" w:fill="E6E6E6"/>
    </w:rPr>
  </w:style>
  <w:style w:type="paragraph" w:customStyle="1" w:styleId="Default">
    <w:name w:val="Default"/>
    <w:rsid w:val="00884C56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rsid w:val="00DC3DD8"/>
    <w:pPr>
      <w:spacing w:after="36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DD8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Revision">
    <w:name w:val="Revision"/>
    <w:hidden/>
    <w:uiPriority w:val="99"/>
    <w:semiHidden/>
    <w:rsid w:val="009A7045"/>
    <w:pPr>
      <w:spacing w:after="0" w:line="240" w:lineRule="auto"/>
    </w:pPr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B4233"/>
    <w:rPr>
      <w:color w:val="605E5C"/>
      <w:shd w:val="clear" w:color="auto" w:fill="E1DFDD"/>
    </w:rPr>
  </w:style>
  <w:style w:type="character" w:customStyle="1" w:styleId="highlight">
    <w:name w:val="highlight"/>
    <w:basedOn w:val="DefaultParagraphFont"/>
    <w:rsid w:val="00543CD0"/>
  </w:style>
  <w:style w:type="character" w:styleId="FollowedHyperlink">
    <w:name w:val="FollowedHyperlink"/>
    <w:basedOn w:val="DefaultParagraphFont"/>
    <w:uiPriority w:val="99"/>
    <w:semiHidden/>
    <w:unhideWhenUsed/>
    <w:rsid w:val="005A140B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836FD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836FD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836FD"/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836FD"/>
    <w:rPr>
      <w:rFonts w:ascii="Arial" w:hAnsi="Arial" w:cs="Arial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4D59-6058-47EF-AE48-8389955D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Ucar</cp:lastModifiedBy>
  <cp:revision>2</cp:revision>
  <cp:lastPrinted>2018-10-30T16:57:00Z</cp:lastPrinted>
  <dcterms:created xsi:type="dcterms:W3CDTF">2019-03-21T16:41:00Z</dcterms:created>
  <dcterms:modified xsi:type="dcterms:W3CDTF">2019-03-21T16:41:00Z</dcterms:modified>
</cp:coreProperties>
</file>