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71" w:rsidRPr="000500EA" w:rsidRDefault="00434E39" w:rsidP="00F41EB5">
      <w:pPr>
        <w:spacing w:line="240" w:lineRule="auto"/>
        <w:rPr>
          <w:rFonts w:ascii="Times New Roman" w:hAnsi="Times New Roman" w:cs="Times New Roman"/>
        </w:rPr>
      </w:pPr>
      <w:bookmarkStart w:id="0" w:name="_Hlk519846298"/>
      <w:bookmarkStart w:id="1" w:name="_Hlk519800216"/>
      <w:bookmarkStart w:id="2" w:name="_GoBack"/>
      <w:bookmarkEnd w:id="2"/>
      <w:r w:rsidRPr="000500EA">
        <w:rPr>
          <w:rFonts w:ascii="Times New Roman" w:hAnsi="Times New Roman" w:cs="Times New Roman"/>
        </w:rPr>
        <w:t>Suppl</w:t>
      </w:r>
      <w:r w:rsidR="00161471" w:rsidRPr="000500EA">
        <w:rPr>
          <w:rFonts w:ascii="Times New Roman" w:hAnsi="Times New Roman" w:cs="Times New Roman"/>
        </w:rPr>
        <w:t>emental t</w:t>
      </w:r>
      <w:r w:rsidR="00696668" w:rsidRPr="000500EA">
        <w:rPr>
          <w:rFonts w:ascii="Times New Roman" w:hAnsi="Times New Roman" w:cs="Times New Roman"/>
        </w:rPr>
        <w:t>able 1</w:t>
      </w:r>
      <w:r w:rsidRPr="000500EA">
        <w:rPr>
          <w:rFonts w:ascii="Times New Roman" w:hAnsi="Times New Roman" w:cs="Times New Roman"/>
        </w:rPr>
        <w:t>.</w:t>
      </w:r>
      <w:r w:rsidR="00696668" w:rsidRPr="000500EA">
        <w:rPr>
          <w:rFonts w:ascii="Times New Roman" w:hAnsi="Times New Roman" w:cs="Times New Roman"/>
        </w:rPr>
        <w:t xml:space="preserve">  </w:t>
      </w:r>
      <w:r w:rsidR="00082C35" w:rsidRPr="000500EA">
        <w:rPr>
          <w:rFonts w:ascii="Times New Roman" w:hAnsi="Times New Roman" w:cs="Times New Roman"/>
        </w:rPr>
        <w:t>Estimates of thrombotic events in p</w:t>
      </w:r>
      <w:r w:rsidR="00696668" w:rsidRPr="000500EA">
        <w:rPr>
          <w:rFonts w:ascii="Times New Roman" w:hAnsi="Times New Roman" w:cs="Times New Roman"/>
        </w:rPr>
        <w:t xml:space="preserve">rimary prevention </w:t>
      </w:r>
      <w:r w:rsidR="00082C35" w:rsidRPr="000500EA">
        <w:rPr>
          <w:rFonts w:ascii="Times New Roman" w:hAnsi="Times New Roman" w:cs="Times New Roman"/>
        </w:rPr>
        <w:t xml:space="preserve">studies </w:t>
      </w:r>
      <w:r w:rsidR="00696668" w:rsidRPr="000500EA">
        <w:rPr>
          <w:rFonts w:ascii="Times New Roman" w:hAnsi="Times New Roman" w:cs="Times New Roman"/>
        </w:rPr>
        <w:t xml:space="preserve">with low dose aspirin (LDA) in women with a history of obstetric </w:t>
      </w:r>
      <w:r w:rsidR="00161471" w:rsidRPr="000500EA">
        <w:rPr>
          <w:rFonts w:ascii="Times New Roman" w:hAnsi="Times New Roman" w:cs="Times New Roman"/>
        </w:rPr>
        <w:t xml:space="preserve">antiphospholipid syndrome </w:t>
      </w:r>
      <w:r w:rsidR="00696668" w:rsidRPr="000500EA">
        <w:rPr>
          <w:rFonts w:ascii="Times New Roman" w:hAnsi="Times New Roman" w:cs="Times New Roman"/>
        </w:rPr>
        <w:t>only</w:t>
      </w:r>
      <w:r w:rsidRPr="000500EA">
        <w:rPr>
          <w:rFonts w:ascii="Times New Roman" w:hAnsi="Times New Roman" w:cs="Times New Roman"/>
        </w:rPr>
        <w:t xml:space="preserve"> and high-risk aPL profile</w:t>
      </w:r>
      <w:r w:rsidR="009A2FAA" w:rsidRPr="000500EA">
        <w:rPr>
          <w:rFonts w:ascii="Times New Roman" w:hAnsi="Times New Roman" w:cs="Times New Roman"/>
        </w:rPr>
        <w:t xml:space="preserve"> (with or without </w:t>
      </w:r>
      <w:r w:rsidR="00161471" w:rsidRPr="000500EA">
        <w:rPr>
          <w:rFonts w:ascii="Times New Roman" w:hAnsi="Times New Roman" w:cs="Times New Roman"/>
        </w:rPr>
        <w:t>systemic lupus erythematosus</w:t>
      </w:r>
      <w:r w:rsidR="009A2FAA" w:rsidRPr="000500EA">
        <w:rPr>
          <w:rFonts w:ascii="Times New Roman" w:hAnsi="Times New Roman" w:cs="Times New Roman"/>
        </w:rPr>
        <w:t>)</w:t>
      </w:r>
      <w:r w:rsidR="00161471" w:rsidRPr="000500EA">
        <w:rPr>
          <w:rFonts w:ascii="Times New Roman" w:hAnsi="Times New Roman" w:cs="Times New Roman"/>
        </w:rPr>
        <w:t xml:space="preserve">.  </w:t>
      </w:r>
    </w:p>
    <w:p w:rsidR="00696668" w:rsidRPr="000C64DF" w:rsidRDefault="00161471" w:rsidP="00837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D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2299" w:type="dxa"/>
        <w:tblLayout w:type="fixed"/>
        <w:tblLook w:val="04A0" w:firstRow="1" w:lastRow="0" w:firstColumn="1" w:lastColumn="0" w:noHBand="0" w:noVBand="1"/>
      </w:tblPr>
      <w:tblGrid>
        <w:gridCol w:w="1330"/>
        <w:gridCol w:w="1276"/>
        <w:gridCol w:w="1471"/>
        <w:gridCol w:w="1276"/>
        <w:gridCol w:w="1276"/>
        <w:gridCol w:w="1417"/>
        <w:gridCol w:w="1418"/>
        <w:gridCol w:w="1559"/>
        <w:gridCol w:w="1276"/>
      </w:tblGrid>
      <w:tr w:rsidR="00161471" w:rsidRPr="000C64DF" w:rsidTr="000C64D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 xml:space="preserve">Reference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Design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Comparison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Intervention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Number of patients, intervention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Number of patients,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Events, intervention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b/>
              </w:rPr>
            </w:pPr>
            <w:r w:rsidRPr="000C64DF">
              <w:rPr>
                <w:rFonts w:ascii="Times New Roman" w:eastAsia="Calibri" w:hAnsi="Times New Roman" w:cs="Times New Roman"/>
                <w:b/>
              </w:rPr>
              <w:t>Events, control</w:t>
            </w:r>
          </w:p>
        </w:tc>
      </w:tr>
      <w:tr w:rsidR="00161471" w:rsidRPr="000C64DF" w:rsidTr="000C64DF">
        <w:trPr>
          <w:trHeight w:val="644"/>
        </w:trPr>
        <w:tc>
          <w:tcPr>
            <w:tcW w:w="1330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Lefevre 2011</w:t>
            </w:r>
            <w:r w:rsidR="00F33D61" w:rsidRPr="000C64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22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retrospective cohort</w:t>
            </w:r>
          </w:p>
        </w:tc>
        <w:tc>
          <w:tcPr>
            <w:tcW w:w="1471" w:type="dxa"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Single treatment arm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LDA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17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59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4 (12.5%)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161471" w:rsidRPr="000C64DF" w:rsidTr="000C64DF">
        <w:trPr>
          <w:trHeight w:val="300"/>
        </w:trPr>
        <w:tc>
          <w:tcPr>
            <w:tcW w:w="1330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Cuadrado 2014</w:t>
            </w:r>
            <w:r w:rsidR="00F33D61" w:rsidRPr="000C64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23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RCT</w:t>
            </w:r>
          </w:p>
        </w:tc>
        <w:tc>
          <w:tcPr>
            <w:tcW w:w="1471" w:type="dxa"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Single treatment arm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LDA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17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59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4 (4.9%)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161471" w:rsidRPr="000C64DF" w:rsidTr="000C64DF">
        <w:trPr>
          <w:trHeight w:val="300"/>
        </w:trPr>
        <w:tc>
          <w:tcPr>
            <w:tcW w:w="1330" w:type="dxa"/>
            <w:noWrap/>
          </w:tcPr>
          <w:p w:rsidR="00161471" w:rsidRPr="000C64DF" w:rsidRDefault="00161471" w:rsidP="0069666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Gris 2012</w:t>
            </w:r>
            <w:r w:rsidR="00F33D61" w:rsidRPr="000C64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24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prospective cohort</w:t>
            </w:r>
          </w:p>
        </w:tc>
        <w:tc>
          <w:tcPr>
            <w:tcW w:w="1471" w:type="dxa"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Single treatment arm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LDA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17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1418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59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68 venous (13.1%); 15 arterial (2.9%)</w:t>
            </w:r>
          </w:p>
        </w:tc>
        <w:tc>
          <w:tcPr>
            <w:tcW w:w="1276" w:type="dxa"/>
            <w:noWrap/>
          </w:tcPr>
          <w:p w:rsidR="00161471" w:rsidRPr="000C64DF" w:rsidRDefault="00161471" w:rsidP="006966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64DF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na = not applicable.</w:t>
      </w: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668" w:rsidRPr="000C64DF" w:rsidRDefault="00696668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837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0CE" w:rsidRPr="000500EA" w:rsidRDefault="001D2BFC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lastRenderedPageBreak/>
        <w:t>Suppl</w:t>
      </w:r>
      <w:r w:rsidR="00161471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161471" w:rsidRPr="000500EA">
        <w:rPr>
          <w:rFonts w:ascii="Times New Roman" w:hAnsi="Times New Roman" w:cs="Times New Roman"/>
        </w:rPr>
        <w:t>t</w:t>
      </w:r>
      <w:r w:rsidR="00180BD4" w:rsidRPr="000500EA">
        <w:rPr>
          <w:rFonts w:ascii="Times New Roman" w:hAnsi="Times New Roman" w:cs="Times New Roman"/>
        </w:rPr>
        <w:t>able 2</w:t>
      </w:r>
      <w:r w:rsidR="00E924C8" w:rsidRPr="000500EA">
        <w:rPr>
          <w:rFonts w:ascii="Times New Roman" w:hAnsi="Times New Roman" w:cs="Times New Roman"/>
        </w:rPr>
        <w:t>.</w:t>
      </w:r>
      <w:r w:rsidR="0002046B" w:rsidRPr="000500EA">
        <w:rPr>
          <w:rFonts w:ascii="Times New Roman" w:hAnsi="Times New Roman" w:cs="Times New Roman"/>
        </w:rPr>
        <w:t xml:space="preserve"> </w:t>
      </w:r>
      <w:r w:rsidR="00082C35" w:rsidRPr="000500EA">
        <w:rPr>
          <w:rFonts w:ascii="Times New Roman" w:hAnsi="Times New Roman" w:cs="Times New Roman"/>
        </w:rPr>
        <w:t>Estimates of thrombosis recurrence and major bleeding events in s</w:t>
      </w:r>
      <w:r w:rsidR="00161471" w:rsidRPr="000500EA">
        <w:rPr>
          <w:rFonts w:ascii="Times New Roman" w:hAnsi="Times New Roman" w:cs="Times New Roman"/>
        </w:rPr>
        <w:t>ingle treatment arm s</w:t>
      </w:r>
      <w:r w:rsidR="0002046B" w:rsidRPr="000500EA">
        <w:rPr>
          <w:rFonts w:ascii="Times New Roman" w:hAnsi="Times New Roman" w:cs="Times New Roman"/>
        </w:rPr>
        <w:t xml:space="preserve">tudies of </w:t>
      </w:r>
      <w:r w:rsidR="00082C35" w:rsidRPr="000500EA">
        <w:rPr>
          <w:rFonts w:ascii="Times New Roman" w:hAnsi="Times New Roman" w:cs="Times New Roman"/>
        </w:rPr>
        <w:t xml:space="preserve">different </w:t>
      </w:r>
      <w:r w:rsidR="0002046B" w:rsidRPr="000500EA">
        <w:rPr>
          <w:rFonts w:ascii="Times New Roman" w:hAnsi="Times New Roman" w:cs="Times New Roman"/>
        </w:rPr>
        <w:t>intensit</w:t>
      </w:r>
      <w:r w:rsidR="00082C35" w:rsidRPr="000500EA">
        <w:rPr>
          <w:rFonts w:ascii="Times New Roman" w:hAnsi="Times New Roman" w:cs="Times New Roman"/>
        </w:rPr>
        <w:t>ies</w:t>
      </w:r>
      <w:r w:rsidR="0002046B" w:rsidRPr="000500EA">
        <w:rPr>
          <w:rFonts w:ascii="Times New Roman" w:hAnsi="Times New Roman" w:cs="Times New Roman"/>
        </w:rPr>
        <w:t xml:space="preserve"> of oral anticoagulation in patients with </w:t>
      </w:r>
      <w:r w:rsidR="00161471" w:rsidRPr="000500EA">
        <w:rPr>
          <w:rFonts w:ascii="Times New Roman" w:hAnsi="Times New Roman" w:cs="Times New Roman"/>
        </w:rPr>
        <w:t>antiphospholipid syndrome</w:t>
      </w:r>
      <w:r w:rsidR="0002046B" w:rsidRPr="000500EA">
        <w:rPr>
          <w:rFonts w:ascii="Times New Roman" w:hAnsi="Times New Roman" w:cs="Times New Roman"/>
        </w:rPr>
        <w:t xml:space="preserve"> and previous venous thrombosis</w:t>
      </w:r>
      <w:r w:rsidR="00161471" w:rsidRPr="000500EA">
        <w:rPr>
          <w:rFonts w:ascii="Times New Roman" w:hAnsi="Times New Roman" w:cs="Times New Roman"/>
        </w:rPr>
        <w:t xml:space="preserve">.  </w:t>
      </w:r>
      <w:r w:rsidR="0002046B" w:rsidRPr="000500EA">
        <w:rPr>
          <w:rFonts w:ascii="Times New Roman" w:hAnsi="Times New Roman" w:cs="Times New Roman"/>
        </w:rPr>
        <w:t xml:space="preserve"> </w:t>
      </w:r>
      <w:bookmarkStart w:id="3" w:name="_Hlk520469285"/>
    </w:p>
    <w:p w:rsidR="00082C35" w:rsidRPr="000C64DF" w:rsidRDefault="00082C35" w:rsidP="00C7400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13904" w:type="dxa"/>
        <w:tblLook w:val="04A0" w:firstRow="1" w:lastRow="0" w:firstColumn="1" w:lastColumn="0" w:noHBand="0" w:noVBand="1"/>
      </w:tblPr>
      <w:tblGrid>
        <w:gridCol w:w="1872"/>
        <w:gridCol w:w="1716"/>
        <w:gridCol w:w="1272"/>
        <w:gridCol w:w="1769"/>
        <w:gridCol w:w="2110"/>
        <w:gridCol w:w="1113"/>
        <w:gridCol w:w="162"/>
        <w:gridCol w:w="1134"/>
        <w:gridCol w:w="1276"/>
        <w:gridCol w:w="1480"/>
      </w:tblGrid>
      <w:tr w:rsidR="00C74005" w:rsidRPr="000C64DF" w:rsidTr="000500EA">
        <w:trPr>
          <w:trHeight w:val="300"/>
        </w:trPr>
        <w:tc>
          <w:tcPr>
            <w:tcW w:w="1872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520627321"/>
            <w:bookmarkEnd w:id="3"/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716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72" w:type="dxa"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769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2110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75" w:type="dxa"/>
            <w:gridSpan w:val="2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134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76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480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</w:tr>
      <w:tr w:rsidR="00C74005" w:rsidRPr="000C64DF" w:rsidTr="000500EA">
        <w:trPr>
          <w:trHeight w:val="300"/>
        </w:trPr>
        <w:tc>
          <w:tcPr>
            <w:tcW w:w="3588" w:type="dxa"/>
            <w:gridSpan w:val="2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Recurrent thrombosis</w:t>
            </w:r>
          </w:p>
        </w:tc>
        <w:tc>
          <w:tcPr>
            <w:tcW w:w="1272" w:type="dxa"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noWrap/>
            <w:hideMark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:rsidR="00161471" w:rsidRPr="000C64DF" w:rsidRDefault="00161471" w:rsidP="0063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Derksen 1993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6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4</w:t>
            </w:r>
          </w:p>
        </w:tc>
        <w:tc>
          <w:tcPr>
            <w:tcW w:w="2110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69.5 py</w:t>
            </w:r>
          </w:p>
        </w:tc>
        <w:tc>
          <w:tcPr>
            <w:tcW w:w="1296" w:type="dxa"/>
            <w:gridSpan w:val="2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1.4/100 py</w:t>
            </w:r>
          </w:p>
        </w:tc>
        <w:tc>
          <w:tcPr>
            <w:tcW w:w="1480" w:type="dxa"/>
            <w:noWrap/>
          </w:tcPr>
          <w:p w:rsidR="00161471" w:rsidRPr="000C64DF" w:rsidRDefault="00161471" w:rsidP="00CD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Munoz-Rodriguez 1999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3.5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(8%)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Wittkowsky 2006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3 – 4 (in 72% of patients)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62.5 py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9.6/100 py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Giron-Gonzalez 2004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3.5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628 py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2.0/100 py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Schulman 1998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one arm of RCT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3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272 py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7.3/100 py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Krnic-Barrie 1997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3.5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 py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4.8/100 py arterial; 0/100 py venous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Petrovic 1998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3.0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(37.5%)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Tarr 2007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</w:t>
            </w:r>
            <w:r w:rsidR="00A22E25" w:rsidRPr="000C64D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80" w:type="dxa"/>
            <w:noWrap/>
          </w:tcPr>
          <w:p w:rsidR="00C74005" w:rsidRPr="000C64DF" w:rsidRDefault="00A22E25" w:rsidP="00A2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4005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="004E2766" w:rsidRPr="000C6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005" w:rsidRPr="000C64D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Vlachoyiannopoulos</w:t>
            </w:r>
          </w:p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2.6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 py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20/100 py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05" w:rsidRPr="000C64DF" w:rsidTr="000500EA">
        <w:trPr>
          <w:trHeight w:val="300"/>
        </w:trPr>
        <w:tc>
          <w:tcPr>
            <w:tcW w:w="3588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bleeding 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Derksen 1993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4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69.5 py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2.8/100 py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Wittkowsky 2006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&gt; 3 (in 72% of patients)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62.5 py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3.2/100 py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Giron-Gonzalez 2004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3.5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628 py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0.6/100 py</w:t>
            </w:r>
          </w:p>
        </w:tc>
        <w:tc>
          <w:tcPr>
            <w:tcW w:w="1480" w:type="dxa"/>
            <w:noWrap/>
          </w:tcPr>
          <w:p w:rsidR="00C74005" w:rsidRPr="000C64DF" w:rsidRDefault="000C64DF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74005" w:rsidRPr="000C64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74005" w:rsidRPr="000C64DF" w:rsidTr="000500EA">
        <w:trPr>
          <w:trHeight w:val="300"/>
        </w:trPr>
        <w:tc>
          <w:tcPr>
            <w:tcW w:w="1872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Krnic-Barrie 1997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71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69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1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2 – 3.5</w:t>
            </w:r>
          </w:p>
        </w:tc>
        <w:tc>
          <w:tcPr>
            <w:tcW w:w="1113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6" w:type="dxa"/>
            <w:gridSpan w:val="2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 py</w:t>
            </w:r>
          </w:p>
        </w:tc>
        <w:tc>
          <w:tcPr>
            <w:tcW w:w="1276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80" w:type="dxa"/>
            <w:noWrap/>
          </w:tcPr>
          <w:p w:rsidR="00C74005" w:rsidRPr="000C64DF" w:rsidRDefault="00C74005" w:rsidP="00C7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3.1/100 py</w:t>
            </w:r>
          </w:p>
        </w:tc>
      </w:tr>
    </w:tbl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Hlk520378640"/>
      <w:bookmarkEnd w:id="4"/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INR = international normalized ratio; na = not applicable; py = patient-years.</w:t>
      </w: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471" w:rsidRPr="000C64DF" w:rsidRDefault="00161471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B34F2" w:rsidRPr="000C64DF" w:rsidRDefault="00FB34F2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21D8" w:rsidRPr="000500EA" w:rsidRDefault="00E924C8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937A96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937A96" w:rsidRPr="000500EA">
        <w:rPr>
          <w:rFonts w:ascii="Times New Roman" w:hAnsi="Times New Roman" w:cs="Times New Roman"/>
        </w:rPr>
        <w:t>t</w:t>
      </w:r>
      <w:r w:rsidR="00180BD4" w:rsidRPr="000500EA">
        <w:rPr>
          <w:rFonts w:ascii="Times New Roman" w:hAnsi="Times New Roman" w:cs="Times New Roman"/>
        </w:rPr>
        <w:t>able</w:t>
      </w:r>
      <w:r w:rsidRPr="000500EA">
        <w:rPr>
          <w:rFonts w:ascii="Times New Roman" w:hAnsi="Times New Roman" w:cs="Times New Roman"/>
        </w:rPr>
        <w:t xml:space="preserve"> 3</w:t>
      </w:r>
      <w:r w:rsidR="00180BD4" w:rsidRPr="000500EA">
        <w:rPr>
          <w:rFonts w:ascii="Times New Roman" w:hAnsi="Times New Roman" w:cs="Times New Roman"/>
        </w:rPr>
        <w:t xml:space="preserve">. </w:t>
      </w:r>
      <w:r w:rsidR="00082C35" w:rsidRPr="000500EA">
        <w:rPr>
          <w:rFonts w:ascii="Times New Roman" w:hAnsi="Times New Roman" w:cs="Times New Roman"/>
        </w:rPr>
        <w:t>Estimates of thrombosis recurrence and major bleeding events in s</w:t>
      </w:r>
      <w:r w:rsidR="00937A96" w:rsidRPr="000500EA">
        <w:rPr>
          <w:rFonts w:ascii="Times New Roman" w:hAnsi="Times New Roman" w:cs="Times New Roman"/>
        </w:rPr>
        <w:t xml:space="preserve">tudies of </w:t>
      </w:r>
      <w:r w:rsidR="00DD619F" w:rsidRPr="000500EA">
        <w:rPr>
          <w:rFonts w:ascii="Times New Roman" w:hAnsi="Times New Roman" w:cs="Times New Roman"/>
        </w:rPr>
        <w:t>direct acting oral anticoagulants</w:t>
      </w:r>
      <w:r w:rsidR="001822D3" w:rsidRPr="000500EA">
        <w:rPr>
          <w:rFonts w:ascii="Times New Roman" w:hAnsi="Times New Roman" w:cs="Times New Roman"/>
        </w:rPr>
        <w:t xml:space="preserve"> (DOAC)</w:t>
      </w:r>
      <w:r w:rsidR="00DD619F" w:rsidRPr="000500EA">
        <w:rPr>
          <w:rFonts w:ascii="Times New Roman" w:hAnsi="Times New Roman" w:cs="Times New Roman"/>
        </w:rPr>
        <w:t xml:space="preserve"> i</w:t>
      </w:r>
      <w:r w:rsidR="006421D8" w:rsidRPr="000500EA">
        <w:rPr>
          <w:rFonts w:ascii="Times New Roman" w:hAnsi="Times New Roman" w:cs="Times New Roman"/>
        </w:rPr>
        <w:t>n</w:t>
      </w:r>
      <w:r w:rsidR="000C64DF" w:rsidRPr="000500EA">
        <w:rPr>
          <w:rFonts w:ascii="Times New Roman" w:hAnsi="Times New Roman" w:cs="Times New Roman"/>
        </w:rPr>
        <w:t xml:space="preserve"> </w:t>
      </w:r>
      <w:r w:rsidR="006421D8" w:rsidRPr="000500EA">
        <w:rPr>
          <w:rFonts w:ascii="Times New Roman" w:hAnsi="Times New Roman" w:cs="Times New Roman"/>
        </w:rPr>
        <w:t xml:space="preserve">patients with definite </w:t>
      </w:r>
      <w:r w:rsidR="00937A96" w:rsidRPr="000500EA">
        <w:rPr>
          <w:rFonts w:ascii="Times New Roman" w:hAnsi="Times New Roman" w:cs="Times New Roman"/>
        </w:rPr>
        <w:t>antiphospholipid syndrome</w:t>
      </w:r>
      <w:r w:rsidR="006421D8" w:rsidRPr="000500EA">
        <w:rPr>
          <w:rFonts w:ascii="Times New Roman" w:hAnsi="Times New Roman" w:cs="Times New Roman"/>
        </w:rPr>
        <w:t xml:space="preserve"> and first provoked venous thrombosis</w:t>
      </w:r>
      <w:r w:rsidR="00937A96" w:rsidRPr="000500EA">
        <w:rPr>
          <w:rFonts w:ascii="Times New Roman" w:hAnsi="Times New Roman" w:cs="Times New Roman"/>
        </w:rPr>
        <w:t>.</w:t>
      </w:r>
      <w:r w:rsidR="001822D3" w:rsidRPr="000500EA">
        <w:rPr>
          <w:rFonts w:ascii="Times New Roman" w:hAnsi="Times New Roman" w:cs="Times New Roman"/>
        </w:rPr>
        <w:t xml:space="preserve">  </w:t>
      </w:r>
    </w:p>
    <w:bookmarkEnd w:id="5"/>
    <w:p w:rsidR="001179D0" w:rsidRPr="000C64DF" w:rsidRDefault="001179D0" w:rsidP="006421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280" w:type="pct"/>
        <w:tblLayout w:type="fixed"/>
        <w:tblLook w:val="04A0" w:firstRow="1" w:lastRow="0" w:firstColumn="1" w:lastColumn="0" w:noHBand="0" w:noVBand="1"/>
      </w:tblPr>
      <w:tblGrid>
        <w:gridCol w:w="1189"/>
        <w:gridCol w:w="826"/>
        <w:gridCol w:w="1096"/>
        <w:gridCol w:w="1283"/>
        <w:gridCol w:w="1099"/>
        <w:gridCol w:w="1283"/>
        <w:gridCol w:w="1188"/>
        <w:gridCol w:w="1286"/>
        <w:gridCol w:w="1188"/>
        <w:gridCol w:w="2018"/>
        <w:gridCol w:w="1458"/>
      </w:tblGrid>
      <w:tr w:rsidR="004B6E99" w:rsidRPr="000C64DF" w:rsidTr="00CD0CEA">
        <w:trPr>
          <w:trHeight w:val="300"/>
        </w:trPr>
        <w:tc>
          <w:tcPr>
            <w:tcW w:w="427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520381470"/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297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394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461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395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461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427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462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427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725" w:type="pct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525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1822D3" w:rsidRPr="000C64DF" w:rsidTr="00CD0CEA">
        <w:trPr>
          <w:trHeight w:val="300"/>
        </w:trPr>
        <w:tc>
          <w:tcPr>
            <w:tcW w:w="5000" w:type="pct"/>
            <w:gridSpan w:val="11"/>
            <w:noWrap/>
            <w:hideMark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Recurrent thrombosis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Goldhaber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297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Dabigatran</w:t>
            </w:r>
          </w:p>
        </w:tc>
        <w:tc>
          <w:tcPr>
            <w:tcW w:w="395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2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(4.2%)</w:t>
            </w:r>
          </w:p>
        </w:tc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(5.0%)</w:t>
            </w:r>
          </w:p>
        </w:tc>
        <w:tc>
          <w:tcPr>
            <w:tcW w:w="725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HR 0.43 (0.08 - 2.38)</w:t>
            </w:r>
          </w:p>
        </w:tc>
        <w:tc>
          <w:tcPr>
            <w:tcW w:w="525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Low risk of bias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Cohen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297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Rivaroxaban</w:t>
            </w:r>
          </w:p>
        </w:tc>
        <w:tc>
          <w:tcPr>
            <w:tcW w:w="395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2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pct"/>
            <w:noWrap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not estimable</w:t>
            </w:r>
          </w:p>
        </w:tc>
        <w:tc>
          <w:tcPr>
            <w:tcW w:w="525" w:type="pct"/>
          </w:tcPr>
          <w:p w:rsidR="001822D3" w:rsidRPr="000C64DF" w:rsidRDefault="001822D3" w:rsidP="00F8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Pengo 2018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Rivaroxaban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2" w:type="pct"/>
            <w:noWrap/>
          </w:tcPr>
          <w:p w:rsidR="001822D3" w:rsidRPr="000C64DF" w:rsidRDefault="001822D3" w:rsidP="007F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7 (12%) </w:t>
            </w:r>
          </w:p>
        </w:tc>
        <w:tc>
          <w:tcPr>
            <w:tcW w:w="427" w:type="pct"/>
            <w:noWrap/>
          </w:tcPr>
          <w:p w:rsidR="001822D3" w:rsidRPr="000C64DF" w:rsidRDefault="001822D3" w:rsidP="007F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pct"/>
            <w:noWrap/>
          </w:tcPr>
          <w:p w:rsidR="001822D3" w:rsidRPr="000C64DF" w:rsidRDefault="00880D45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15.5 (0.91</w:t>
            </w:r>
            <w:r w:rsidR="00C06349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49" w:rsidRPr="000C64DF">
              <w:rPr>
                <w:rFonts w:ascii="Times New Roman" w:hAnsi="Times New Roman" w:cs="Times New Roman"/>
                <w:sz w:val="20"/>
                <w:szCs w:val="20"/>
              </w:rPr>
              <w:t>266)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Unclear risk of bias</w:t>
            </w:r>
          </w:p>
        </w:tc>
      </w:tr>
      <w:tr w:rsidR="001D7370" w:rsidRPr="000C64DF" w:rsidTr="00CD0CEA">
        <w:trPr>
          <w:trHeight w:val="300"/>
        </w:trPr>
        <w:tc>
          <w:tcPr>
            <w:tcW w:w="42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pct"/>
            <w:gridSpan w:val="9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Noel 2015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(7.1%)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Haladyj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Malec 2017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Resseguier 2017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1(5.2%)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2D3" w:rsidRPr="000C64DF" w:rsidTr="00CD0CEA">
        <w:trPr>
          <w:trHeight w:val="300"/>
        </w:trPr>
        <w:tc>
          <w:tcPr>
            <w:tcW w:w="5000" w:type="pct"/>
            <w:gridSpan w:val="11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bleeding 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Goldhaber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29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Dabigatran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(1.4%)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(2.6%)</w:t>
            </w:r>
          </w:p>
        </w:tc>
        <w:tc>
          <w:tcPr>
            <w:tcW w:w="725" w:type="pct"/>
            <w:noWrap/>
          </w:tcPr>
          <w:p w:rsidR="001822D3" w:rsidRPr="000C64DF" w:rsidRDefault="00C06349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HR </w:t>
            </w:r>
            <w:r w:rsidR="001822D3" w:rsidRPr="000C64DF">
              <w:rPr>
                <w:rFonts w:ascii="Times New Roman" w:hAnsi="Times New Roman" w:cs="Times New Roman"/>
                <w:sz w:val="20"/>
                <w:szCs w:val="20"/>
              </w:rPr>
              <w:t>0.46 (0.05 - 5.43)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Low risk of bias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Cohen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29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Rivaroxaban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not estimable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Pengo 2018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9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Rivaroxaban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(3%)</w:t>
            </w:r>
          </w:p>
        </w:tc>
        <w:tc>
          <w:tcPr>
            <w:tcW w:w="725" w:type="pct"/>
            <w:shd w:val="clear" w:color="auto" w:fill="auto"/>
            <w:noWrap/>
          </w:tcPr>
          <w:p w:rsidR="001822D3" w:rsidRPr="000C64DF" w:rsidRDefault="00C06349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2.07 (0.39 – 10.87)</w:t>
            </w:r>
          </w:p>
        </w:tc>
        <w:tc>
          <w:tcPr>
            <w:tcW w:w="525" w:type="pct"/>
            <w:shd w:val="clear" w:color="auto" w:fill="auto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Unclear risk of bias</w:t>
            </w:r>
          </w:p>
        </w:tc>
      </w:tr>
      <w:tr w:rsidR="001D7370" w:rsidRPr="000C64DF" w:rsidTr="00CD0CEA">
        <w:trPr>
          <w:trHeight w:val="300"/>
        </w:trPr>
        <w:tc>
          <w:tcPr>
            <w:tcW w:w="427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pct"/>
            <w:gridSpan w:val="9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Noel 2015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Haladyj 2016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Malec 2017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4B6E99" w:rsidRPr="000C64DF" w:rsidTr="00CD0CEA">
        <w:trPr>
          <w:trHeight w:val="300"/>
        </w:trPr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Resseguier 2017</w:t>
            </w:r>
            <w:r w:rsidR="00F33D61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29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394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DOAC</w:t>
            </w:r>
          </w:p>
        </w:tc>
        <w:tc>
          <w:tcPr>
            <w:tcW w:w="39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2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5" w:type="pct"/>
            <w:noWrap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:rsidR="001822D3" w:rsidRPr="000C64DF" w:rsidRDefault="001822D3" w:rsidP="00FA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bookmarkEnd w:id="6"/>
    </w:tbl>
    <w:p w:rsidR="00180BD4" w:rsidRPr="000C64DF" w:rsidRDefault="00180BD4" w:rsidP="005812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CI = confidence interval; HR = hazard ratio; RR = risk ratio; na = not applicable.</w:t>
      </w: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22D3" w:rsidRPr="000C64DF" w:rsidRDefault="001822D3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02D4" w:rsidRPr="000500EA" w:rsidRDefault="000D02D4" w:rsidP="00172B31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9119E7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9119E7" w:rsidRPr="000500EA">
        <w:rPr>
          <w:rFonts w:ascii="Times New Roman" w:hAnsi="Times New Roman" w:cs="Times New Roman"/>
        </w:rPr>
        <w:t>t</w:t>
      </w:r>
      <w:r w:rsidRPr="000500EA">
        <w:rPr>
          <w:rFonts w:ascii="Times New Roman" w:hAnsi="Times New Roman" w:cs="Times New Roman"/>
        </w:rPr>
        <w:t xml:space="preserve">able 4. </w:t>
      </w:r>
      <w:r w:rsidR="00E64E9C" w:rsidRPr="000500EA">
        <w:rPr>
          <w:rFonts w:ascii="Times New Roman" w:hAnsi="Times New Roman" w:cs="Times New Roman"/>
        </w:rPr>
        <w:t>Estimates of thrombosis recurrence and major bleeding events in studies of the d</w:t>
      </w:r>
      <w:r w:rsidRPr="000500EA">
        <w:rPr>
          <w:rFonts w:ascii="Times New Roman" w:hAnsi="Times New Roman" w:cs="Times New Roman"/>
        </w:rPr>
        <w:t>uration of anticoagulation in patients</w:t>
      </w:r>
      <w:r w:rsidR="000C64DF" w:rsidRPr="000500EA">
        <w:rPr>
          <w:rFonts w:ascii="Times New Roman" w:hAnsi="Times New Roman" w:cs="Times New Roman"/>
        </w:rPr>
        <w:t xml:space="preserve"> </w:t>
      </w:r>
      <w:r w:rsidRPr="000500EA">
        <w:rPr>
          <w:rFonts w:ascii="Times New Roman" w:hAnsi="Times New Roman" w:cs="Times New Roman"/>
        </w:rPr>
        <w:t>with unprovoked venous thrombosis</w:t>
      </w:r>
      <w:r w:rsidR="00E64E9C" w:rsidRPr="000500EA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216"/>
        <w:gridCol w:w="1249"/>
        <w:gridCol w:w="1272"/>
        <w:gridCol w:w="1494"/>
        <w:gridCol w:w="1450"/>
        <w:gridCol w:w="1261"/>
        <w:gridCol w:w="957"/>
        <w:gridCol w:w="1261"/>
        <w:gridCol w:w="1139"/>
        <w:gridCol w:w="1620"/>
        <w:gridCol w:w="1227"/>
      </w:tblGrid>
      <w:tr w:rsidR="009119E7" w:rsidRPr="000C64DF" w:rsidTr="009119E7">
        <w:trPr>
          <w:trHeight w:val="300"/>
        </w:trPr>
        <w:tc>
          <w:tcPr>
            <w:tcW w:w="1207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47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494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440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957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47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139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1620" w:type="dxa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E64E9C" w:rsidRPr="000C64DF" w:rsidTr="009119E7">
        <w:trPr>
          <w:trHeight w:val="300"/>
        </w:trPr>
        <w:tc>
          <w:tcPr>
            <w:tcW w:w="12865" w:type="dxa"/>
            <w:gridSpan w:val="10"/>
            <w:noWrap/>
            <w:hideMark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Recurrent thrombosis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Schulman 1998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4 years of oral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6 months of oral 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(5.3%)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 (20%)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Ginsburg 1995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94" w:type="dxa"/>
            <w:noWrap/>
          </w:tcPr>
          <w:p w:rsidR="00E64E9C" w:rsidRPr="000C64DF" w:rsidRDefault="009119E7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E64E9C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ong-term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3-6 months of oral 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 (18%)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= 0.33 (0.06</w:t>
            </w:r>
            <w:r w:rsidR="009119E7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1.81); I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0%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Pengo 2010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long-term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discontinuation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36 (29.2%)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19 (51.3%)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Hernandez-Munoz 2013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long-term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discontinuation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10 (25.6%)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37 (57.1%)</w:t>
            </w:r>
          </w:p>
        </w:tc>
        <w:tc>
          <w:tcPr>
            <w:tcW w:w="1620" w:type="dxa"/>
            <w:noWrap/>
          </w:tcPr>
          <w:p w:rsidR="00E64E9C" w:rsidRPr="000C64DF" w:rsidRDefault="009119E7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E64E9C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Taraborelli 2017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long-term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discontinuation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27 (49%)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18 (62%)</w:t>
            </w:r>
          </w:p>
        </w:tc>
        <w:tc>
          <w:tcPr>
            <w:tcW w:w="1620" w:type="dxa"/>
            <w:noWrap/>
          </w:tcPr>
          <w:p w:rsidR="00E64E9C" w:rsidRPr="000C64DF" w:rsidRDefault="009119E7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E64E9C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 and indirect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= 0.54 (0.42</w:t>
            </w:r>
            <w:r w:rsidR="009119E7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0.70)</w:t>
            </w:r>
            <w:r w:rsidR="009119E7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9%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E9C" w:rsidRPr="000C64DF" w:rsidTr="009119E7">
        <w:trPr>
          <w:trHeight w:val="300"/>
        </w:trPr>
        <w:tc>
          <w:tcPr>
            <w:tcW w:w="120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8" w:type="dxa"/>
            <w:gridSpan w:val="9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Comarmond 2017</w:t>
            </w:r>
            <w:r w:rsidR="00597B37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discontinuation of 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6 (24%)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E9C" w:rsidRPr="000C64DF" w:rsidTr="009119E7">
        <w:trPr>
          <w:trHeight w:val="300"/>
        </w:trPr>
        <w:tc>
          <w:tcPr>
            <w:tcW w:w="12865" w:type="dxa"/>
            <w:gridSpan w:val="10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bleeding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19E7" w:rsidRPr="000C64DF" w:rsidTr="009119E7">
        <w:trPr>
          <w:trHeight w:val="300"/>
        </w:trPr>
        <w:tc>
          <w:tcPr>
            <w:tcW w:w="120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Pengo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</w:t>
            </w:r>
            <w:r w:rsidR="005E793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24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494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long-term anticoagulation</w:t>
            </w:r>
          </w:p>
        </w:tc>
        <w:tc>
          <w:tcPr>
            <w:tcW w:w="144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discontinuation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anticoagulation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5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7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7 (5.7%)</w:t>
            </w:r>
          </w:p>
        </w:tc>
        <w:tc>
          <w:tcPr>
            <w:tcW w:w="1139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(2.7%)</w:t>
            </w:r>
          </w:p>
        </w:tc>
        <w:tc>
          <w:tcPr>
            <w:tcW w:w="1620" w:type="dxa"/>
            <w:noWrap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= 2.11 (0.27</w:t>
            </w:r>
            <w:r w:rsidR="009119E7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16.57)</w:t>
            </w:r>
          </w:p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E9C" w:rsidRPr="000C64DF" w:rsidRDefault="00E64E9C" w:rsidP="000D02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</w:tbl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00EA" w:rsidRPr="000500EA" w:rsidRDefault="00F41EB5" w:rsidP="007B1EC6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RR = risk ratio; CI = confidence interval; na = not applicable.</w:t>
      </w:r>
    </w:p>
    <w:p w:rsidR="007B1EC6" w:rsidRPr="000500EA" w:rsidRDefault="007B1EC6" w:rsidP="007B1EC6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9119E7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9119E7" w:rsidRPr="000500EA">
        <w:rPr>
          <w:rFonts w:ascii="Times New Roman" w:hAnsi="Times New Roman" w:cs="Times New Roman"/>
        </w:rPr>
        <w:t>t</w:t>
      </w:r>
      <w:r w:rsidRPr="000500EA">
        <w:rPr>
          <w:rFonts w:ascii="Times New Roman" w:hAnsi="Times New Roman" w:cs="Times New Roman"/>
        </w:rPr>
        <w:t xml:space="preserve">able 5. </w:t>
      </w:r>
      <w:r w:rsidR="000455B8" w:rsidRPr="000500EA">
        <w:rPr>
          <w:rFonts w:ascii="Times New Roman" w:hAnsi="Times New Roman" w:cs="Times New Roman"/>
        </w:rPr>
        <w:t>Estimates of thrombosis recurrence in studies of t</w:t>
      </w:r>
      <w:r w:rsidRPr="000500EA">
        <w:rPr>
          <w:rFonts w:ascii="Times New Roman" w:hAnsi="Times New Roman" w:cs="Times New Roman"/>
        </w:rPr>
        <w:t xml:space="preserve">reatment with </w:t>
      </w:r>
      <w:r w:rsidR="000455B8" w:rsidRPr="000500EA">
        <w:rPr>
          <w:rFonts w:ascii="Times New Roman" w:hAnsi="Times New Roman" w:cs="Times New Roman"/>
        </w:rPr>
        <w:t>vitamin K antagonists</w:t>
      </w:r>
      <w:r w:rsidRPr="000500EA">
        <w:rPr>
          <w:rFonts w:ascii="Times New Roman" w:hAnsi="Times New Roman" w:cs="Times New Roman"/>
        </w:rPr>
        <w:t xml:space="preserve"> v</w:t>
      </w:r>
      <w:r w:rsidR="000455B8" w:rsidRPr="000500EA">
        <w:rPr>
          <w:rFonts w:ascii="Times New Roman" w:hAnsi="Times New Roman" w:cs="Times New Roman"/>
        </w:rPr>
        <w:t>ersus low dose aspirin (LDA)</w:t>
      </w:r>
      <w:r w:rsidRPr="000500EA">
        <w:rPr>
          <w:rFonts w:ascii="Times New Roman" w:hAnsi="Times New Roman" w:cs="Times New Roman"/>
        </w:rPr>
        <w:t xml:space="preserve">  in patients with definite </w:t>
      </w:r>
      <w:r w:rsidR="000455B8" w:rsidRPr="000500EA">
        <w:rPr>
          <w:rFonts w:ascii="Times New Roman" w:hAnsi="Times New Roman" w:cs="Times New Roman"/>
        </w:rPr>
        <w:t>antiphospholipid syndrome</w:t>
      </w:r>
      <w:r w:rsidRPr="000500EA">
        <w:rPr>
          <w:rFonts w:ascii="Times New Roman" w:hAnsi="Times New Roman" w:cs="Times New Roman"/>
        </w:rPr>
        <w:t xml:space="preserve"> and first arterial thrombosis</w:t>
      </w:r>
      <w:r w:rsidR="000455B8" w:rsidRPr="000500EA">
        <w:rPr>
          <w:rFonts w:ascii="Times New Roman" w:hAnsi="Times New Roman" w:cs="Times New Roman"/>
        </w:rPr>
        <w:t>.  RR = risk ratio; CI = confidence interval; na = not applicable.</w:t>
      </w: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071"/>
        <w:gridCol w:w="1249"/>
        <w:gridCol w:w="1272"/>
        <w:gridCol w:w="1283"/>
        <w:gridCol w:w="922"/>
        <w:gridCol w:w="1261"/>
        <w:gridCol w:w="1128"/>
        <w:gridCol w:w="1261"/>
        <w:gridCol w:w="1072"/>
        <w:gridCol w:w="1850"/>
        <w:gridCol w:w="1227"/>
      </w:tblGrid>
      <w:tr w:rsidR="000740ED" w:rsidRPr="000C64DF" w:rsidTr="000740ED">
        <w:trPr>
          <w:trHeight w:val="300"/>
        </w:trPr>
        <w:tc>
          <w:tcPr>
            <w:tcW w:w="1065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2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9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128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07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1850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0740ED" w:rsidRPr="000C64DF" w:rsidTr="000740ED">
        <w:trPr>
          <w:trHeight w:val="300"/>
        </w:trPr>
        <w:tc>
          <w:tcPr>
            <w:tcW w:w="2287" w:type="dxa"/>
            <w:gridSpan w:val="2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Recurrent thrombosis</w:t>
            </w: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noWrap/>
            <w:hideMark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0ED" w:rsidRPr="000C64DF" w:rsidTr="000740ED">
        <w:trPr>
          <w:trHeight w:val="300"/>
        </w:trPr>
        <w:tc>
          <w:tcPr>
            <w:tcW w:w="1065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Verro 1998</w:t>
            </w:r>
            <w:r w:rsidR="002C739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Warfarin</w:t>
            </w:r>
          </w:p>
        </w:tc>
        <w:tc>
          <w:tcPr>
            <w:tcW w:w="9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(14.2%)</w:t>
            </w: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7 (39%)</w:t>
            </w: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0.37 (0.05 - 2.47)</w:t>
            </w: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0740ED" w:rsidRPr="000C64DF" w:rsidTr="000740ED">
        <w:trPr>
          <w:trHeight w:val="300"/>
        </w:trPr>
        <w:tc>
          <w:tcPr>
            <w:tcW w:w="1065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Wang 2016</w:t>
            </w:r>
            <w:r w:rsidR="002C739D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Vitamin K antagonist</w:t>
            </w:r>
          </w:p>
        </w:tc>
        <w:tc>
          <w:tcPr>
            <w:tcW w:w="9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15 (30.6%)</w:t>
            </w: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8 (57%)</w:t>
            </w: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0740ED" w:rsidRPr="000C64DF" w:rsidTr="000740ED">
        <w:trPr>
          <w:trHeight w:val="300"/>
        </w:trPr>
        <w:tc>
          <w:tcPr>
            <w:tcW w:w="1065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 and indirect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0.50 (0.26 - 0.93); I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0%</w:t>
            </w: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0ED" w:rsidRPr="000C64DF" w:rsidTr="000740ED">
        <w:trPr>
          <w:trHeight w:val="300"/>
        </w:trPr>
        <w:tc>
          <w:tcPr>
            <w:tcW w:w="1065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40ED" w:rsidRPr="000C64DF" w:rsidTr="000740ED">
        <w:trPr>
          <w:trHeight w:val="300"/>
        </w:trPr>
        <w:tc>
          <w:tcPr>
            <w:tcW w:w="1065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Derksen 2003</w:t>
            </w:r>
            <w:r w:rsidR="00CF0E52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42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28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72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 (37.5%)</w:t>
            </w:r>
          </w:p>
        </w:tc>
        <w:tc>
          <w:tcPr>
            <w:tcW w:w="1850" w:type="dxa"/>
            <w:noWrap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58" w:type="dxa"/>
          </w:tcPr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  <w:p w:rsidR="000740ED" w:rsidRPr="000C64DF" w:rsidRDefault="000740ED" w:rsidP="007B1E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RR = risk ratio; CI = confidence interval; na = not applicable.</w:t>
      </w: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500EA" w:rsidRPr="000C64DF" w:rsidRDefault="000500EA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D02D4" w:rsidRPr="000C64DF" w:rsidRDefault="000D02D4" w:rsidP="00172B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A71C3" w:rsidRPr="000500EA" w:rsidRDefault="002B4CD7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CD7B55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CD7B55" w:rsidRPr="000500EA">
        <w:rPr>
          <w:rFonts w:ascii="Times New Roman" w:hAnsi="Times New Roman" w:cs="Times New Roman"/>
        </w:rPr>
        <w:t>t</w:t>
      </w:r>
      <w:r w:rsidR="00FA71C3" w:rsidRPr="000500EA">
        <w:rPr>
          <w:rFonts w:ascii="Times New Roman" w:hAnsi="Times New Roman" w:cs="Times New Roman"/>
        </w:rPr>
        <w:t xml:space="preserve">able </w:t>
      </w:r>
      <w:r w:rsidR="00CD7B55" w:rsidRPr="000500EA">
        <w:rPr>
          <w:rFonts w:ascii="Times New Roman" w:hAnsi="Times New Roman" w:cs="Times New Roman"/>
        </w:rPr>
        <w:t>6</w:t>
      </w:r>
      <w:r w:rsidR="000D02D4" w:rsidRPr="000500EA">
        <w:rPr>
          <w:rFonts w:ascii="Times New Roman" w:hAnsi="Times New Roman" w:cs="Times New Roman"/>
        </w:rPr>
        <w:t>.</w:t>
      </w:r>
      <w:r w:rsidR="00FA71C3" w:rsidRPr="000500EA">
        <w:rPr>
          <w:rFonts w:ascii="Times New Roman" w:hAnsi="Times New Roman" w:cs="Times New Roman"/>
        </w:rPr>
        <w:t xml:space="preserve"> </w:t>
      </w:r>
      <w:r w:rsidR="00CD7B55" w:rsidRPr="000500EA">
        <w:rPr>
          <w:rFonts w:ascii="Times New Roman" w:hAnsi="Times New Roman" w:cs="Times New Roman"/>
        </w:rPr>
        <w:t xml:space="preserve">  Estimates of thrombosis recurrence and major bleeding events in mixed treatment and single arm studies of different intensities of oral anticoagulation in </w:t>
      </w:r>
      <w:r w:rsidR="00FA71C3" w:rsidRPr="000500EA">
        <w:rPr>
          <w:rFonts w:ascii="Times New Roman" w:hAnsi="Times New Roman" w:cs="Times New Roman"/>
        </w:rPr>
        <w:t xml:space="preserve">patients with definite </w:t>
      </w:r>
      <w:r w:rsidR="00CD7B55" w:rsidRPr="000500EA">
        <w:rPr>
          <w:rFonts w:ascii="Times New Roman" w:hAnsi="Times New Roman" w:cs="Times New Roman"/>
        </w:rPr>
        <w:t>antiphospholipid syndrome</w:t>
      </w:r>
      <w:r w:rsidR="00FA71C3" w:rsidRPr="000500EA">
        <w:rPr>
          <w:rFonts w:ascii="Times New Roman" w:hAnsi="Times New Roman" w:cs="Times New Roman"/>
        </w:rPr>
        <w:t xml:space="preserve"> and first </w:t>
      </w:r>
      <w:r w:rsidR="00CD7B55" w:rsidRPr="000500EA">
        <w:rPr>
          <w:rFonts w:ascii="Times New Roman" w:hAnsi="Times New Roman" w:cs="Times New Roman"/>
        </w:rPr>
        <w:t>a</w:t>
      </w:r>
      <w:r w:rsidR="00FA71C3" w:rsidRPr="000500EA">
        <w:rPr>
          <w:rFonts w:ascii="Times New Roman" w:hAnsi="Times New Roman" w:cs="Times New Roman"/>
        </w:rPr>
        <w:t>rterial thrombosis</w:t>
      </w:r>
      <w:r w:rsidR="00CD7B55" w:rsidRPr="000500EA">
        <w:rPr>
          <w:rFonts w:ascii="Times New Roman" w:hAnsi="Times New Roman" w:cs="Times New Roman"/>
        </w:rPr>
        <w:t xml:space="preserve">.  </w:t>
      </w:r>
    </w:p>
    <w:p w:rsidR="00CD7B55" w:rsidRPr="000C64DF" w:rsidRDefault="00CD7B55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537" w:type="dxa"/>
        <w:tblLook w:val="04A0" w:firstRow="1" w:lastRow="0" w:firstColumn="1" w:lastColumn="0" w:noHBand="0" w:noVBand="1"/>
      </w:tblPr>
      <w:tblGrid>
        <w:gridCol w:w="1968"/>
        <w:gridCol w:w="1317"/>
        <w:gridCol w:w="1272"/>
        <w:gridCol w:w="1804"/>
        <w:gridCol w:w="1827"/>
        <w:gridCol w:w="1276"/>
        <w:gridCol w:w="1164"/>
        <w:gridCol w:w="1261"/>
        <w:gridCol w:w="89"/>
        <w:gridCol w:w="1559"/>
      </w:tblGrid>
      <w:tr w:rsidR="00CD7B55" w:rsidRPr="000C64DF" w:rsidTr="000500EA">
        <w:trPr>
          <w:trHeight w:val="300"/>
        </w:trPr>
        <w:tc>
          <w:tcPr>
            <w:tcW w:w="1968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317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72" w:type="dxa"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804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827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76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164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61" w:type="dxa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648" w:type="dxa"/>
            <w:gridSpan w:val="2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</w:tr>
      <w:tr w:rsidR="00CD7B55" w:rsidRPr="000C64DF" w:rsidTr="000500EA">
        <w:trPr>
          <w:trHeight w:val="300"/>
        </w:trPr>
        <w:tc>
          <w:tcPr>
            <w:tcW w:w="13537" w:type="dxa"/>
            <w:gridSpan w:val="10"/>
            <w:noWrap/>
            <w:hideMark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Recurrent thrombosis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Rivier 1994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1317" w:type="dxa"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804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≥ 3.0 + LDA</w:t>
            </w:r>
          </w:p>
        </w:tc>
        <w:tc>
          <w:tcPr>
            <w:tcW w:w="1827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3 + LDA</w:t>
            </w:r>
          </w:p>
        </w:tc>
        <w:tc>
          <w:tcPr>
            <w:tcW w:w="1276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py</w:t>
            </w:r>
          </w:p>
        </w:tc>
        <w:tc>
          <w:tcPr>
            <w:tcW w:w="1164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23.8 py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16.8/100 py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Ruiz-Irastorza 2002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1317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warfarin INR 3 – 4 </w:t>
            </w:r>
          </w:p>
        </w:tc>
        <w:tc>
          <w:tcPr>
            <w:tcW w:w="1827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66.0 py</w:t>
            </w:r>
          </w:p>
        </w:tc>
        <w:tc>
          <w:tcPr>
            <w:tcW w:w="1164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9.0/100 py</w:t>
            </w:r>
          </w:p>
        </w:tc>
        <w:tc>
          <w:tcPr>
            <w:tcW w:w="1559" w:type="dxa"/>
            <w:noWrap/>
          </w:tcPr>
          <w:p w:rsidR="00CD7B55" w:rsidRPr="000C64DF" w:rsidRDefault="00CD7B55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Wittkowsky 2006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3 – 4 (in 72% of patients)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62.5 py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9.6/100 py</w:t>
            </w: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Giron-Gonzalez 2004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3.5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628 py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2.0/100 py</w:t>
            </w: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Krnic-Barrie 1997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3.5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 py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4.8/100 py arterial; 0/100 py venous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Petrovic 1998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3.0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(37.5%)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Tarr 2007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</w:t>
            </w:r>
            <w:r w:rsidR="004E2766" w:rsidRPr="000C64D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  <w:noWrap/>
          </w:tcPr>
          <w:p w:rsidR="00CD7B55" w:rsidRPr="000C64DF" w:rsidRDefault="004E2766" w:rsidP="004E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B55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="00CD7B55" w:rsidRPr="000C64D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Vlachoyiannopoulos</w:t>
            </w:r>
          </w:p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D4376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2.6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 py</w:t>
            </w: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20/100 py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B55" w:rsidRPr="000C64DF" w:rsidTr="000500EA">
        <w:trPr>
          <w:trHeight w:val="300"/>
        </w:trPr>
        <w:tc>
          <w:tcPr>
            <w:tcW w:w="13537" w:type="dxa"/>
            <w:gridSpan w:val="10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bleeding 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Ruiz-Irastorza 2002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warfarin INR 3 – 4 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66.0 py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1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6.0/100 py</w:t>
            </w:r>
          </w:p>
        </w:tc>
        <w:tc>
          <w:tcPr>
            <w:tcW w:w="1648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Wittkowsky 2006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&gt; 3 (in 72% of patients)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62.5 py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1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3.2/100 py</w:t>
            </w:r>
          </w:p>
        </w:tc>
        <w:tc>
          <w:tcPr>
            <w:tcW w:w="1648" w:type="dxa"/>
            <w:gridSpan w:val="2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7B55" w:rsidRPr="000C64DF" w:rsidTr="000500EA">
        <w:trPr>
          <w:trHeight w:val="300"/>
        </w:trPr>
        <w:tc>
          <w:tcPr>
            <w:tcW w:w="1968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Giron-Gonzalez 2004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31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2.5 – 3.5</w:t>
            </w:r>
          </w:p>
        </w:tc>
        <w:tc>
          <w:tcPr>
            <w:tcW w:w="1827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628 py</w:t>
            </w:r>
          </w:p>
        </w:tc>
        <w:tc>
          <w:tcPr>
            <w:tcW w:w="1164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1" w:type="dxa"/>
            <w:noWrap/>
          </w:tcPr>
          <w:p w:rsidR="00CD7B55" w:rsidRPr="000C64DF" w:rsidRDefault="00CD7B55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0.6/100 py</w:t>
            </w:r>
          </w:p>
        </w:tc>
        <w:tc>
          <w:tcPr>
            <w:tcW w:w="1648" w:type="dxa"/>
            <w:gridSpan w:val="2"/>
            <w:noWrap/>
          </w:tcPr>
          <w:p w:rsidR="00CD7B55" w:rsidRPr="000C64DF" w:rsidRDefault="00903A3D" w:rsidP="00CD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D7B55" w:rsidRPr="000C64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03A3D" w:rsidRPr="000C64DF" w:rsidTr="000500EA">
        <w:trPr>
          <w:trHeight w:val="300"/>
        </w:trPr>
        <w:tc>
          <w:tcPr>
            <w:tcW w:w="1968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Krnic-Barrie 1997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317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72" w:type="dxa"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804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27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warfarin INR 2 – 3.5</w:t>
            </w:r>
          </w:p>
        </w:tc>
        <w:tc>
          <w:tcPr>
            <w:tcW w:w="1276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64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 py</w:t>
            </w:r>
          </w:p>
        </w:tc>
        <w:tc>
          <w:tcPr>
            <w:tcW w:w="1261" w:type="dxa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48" w:type="dxa"/>
            <w:gridSpan w:val="2"/>
            <w:noWrap/>
          </w:tcPr>
          <w:p w:rsidR="00903A3D" w:rsidRPr="000C64DF" w:rsidRDefault="00903A3D" w:rsidP="009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3.1/100 py</w:t>
            </w:r>
          </w:p>
        </w:tc>
      </w:tr>
    </w:tbl>
    <w:p w:rsidR="00F41EB5" w:rsidRPr="000C64DF" w:rsidRDefault="00F41EB5" w:rsidP="00F41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Hlk529993989"/>
      <w:bookmarkEnd w:id="0"/>
      <w:bookmarkEnd w:id="1"/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INR = international normalized ratio; LDA = low dose aspirin; py = patient-years; na = not applicable.</w:t>
      </w:r>
    </w:p>
    <w:p w:rsidR="00161CAC" w:rsidRPr="000500EA" w:rsidRDefault="00161CAC" w:rsidP="004447BC">
      <w:pPr>
        <w:spacing w:line="24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7013" w:rsidRPr="000500EA" w:rsidRDefault="00161CAC" w:rsidP="004447BC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Supplemental table 7.  </w:t>
      </w:r>
      <w:r w:rsidR="001A7013" w:rsidRPr="000500EA">
        <w:rPr>
          <w:rFonts w:ascii="Times New Roman" w:hAnsi="Times New Roman" w:cs="Times New Roman"/>
        </w:rPr>
        <w:t>P</w:t>
      </w:r>
      <w:r w:rsidRPr="000500EA">
        <w:rPr>
          <w:rFonts w:ascii="Times New Roman" w:hAnsi="Times New Roman" w:cs="Times New Roman"/>
        </w:rPr>
        <w:t xml:space="preserve">regnancy outcomes </w:t>
      </w:r>
      <w:r w:rsidR="001A7013" w:rsidRPr="000500EA">
        <w:rPr>
          <w:rFonts w:ascii="Times New Roman" w:hAnsi="Times New Roman" w:cs="Times New Roman"/>
        </w:rPr>
        <w:t>in studies of</w:t>
      </w:r>
      <w:r w:rsidRPr="000500EA">
        <w:rPr>
          <w:rFonts w:ascii="Times New Roman" w:hAnsi="Times New Roman" w:cs="Times New Roman"/>
        </w:rPr>
        <w:t xml:space="preserve"> low dose aspirin (LDA) treatment in pregnant women (with or without </w:t>
      </w:r>
      <w:r w:rsidR="001A7013" w:rsidRPr="000500EA">
        <w:rPr>
          <w:rFonts w:ascii="Times New Roman" w:hAnsi="Times New Roman" w:cs="Times New Roman"/>
        </w:rPr>
        <w:t xml:space="preserve">systemic lupus </w:t>
      </w:r>
    </w:p>
    <w:p w:rsidR="00161CAC" w:rsidRPr="000500EA" w:rsidRDefault="001A7013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erythematosus</w:t>
      </w:r>
      <w:r w:rsidR="00161CAC" w:rsidRPr="000500EA">
        <w:rPr>
          <w:rFonts w:ascii="Times New Roman" w:hAnsi="Times New Roman" w:cs="Times New Roman"/>
        </w:rPr>
        <w:t>) with high-risk aPL profile but no history of thrombosis or pregnancy complications</w:t>
      </w:r>
      <w:r w:rsidR="00F41EB5" w:rsidRPr="000500EA">
        <w:rPr>
          <w:rFonts w:ascii="Times New Roman" w:hAnsi="Times New Roman" w:cs="Times New Roman"/>
        </w:rPr>
        <w:t>.</w:t>
      </w:r>
    </w:p>
    <w:p w:rsidR="00161CAC" w:rsidRPr="000C64DF" w:rsidRDefault="00161CA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1234"/>
        <w:gridCol w:w="1305"/>
        <w:gridCol w:w="1272"/>
        <w:gridCol w:w="1283"/>
        <w:gridCol w:w="1080"/>
        <w:gridCol w:w="1261"/>
        <w:gridCol w:w="1268"/>
        <w:gridCol w:w="1261"/>
        <w:gridCol w:w="1275"/>
        <w:gridCol w:w="1276"/>
        <w:gridCol w:w="1227"/>
      </w:tblGrid>
      <w:tr w:rsidR="000A7ECF" w:rsidRPr="000C64DF" w:rsidTr="000C64DF">
        <w:trPr>
          <w:trHeight w:val="300"/>
        </w:trPr>
        <w:tc>
          <w:tcPr>
            <w:tcW w:w="1234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520122653"/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305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67" w:type="dxa"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247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080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268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134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275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1276" w:type="dxa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1276" w:type="dxa"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0A7ECF" w:rsidRPr="000C64DF" w:rsidTr="000C64DF">
        <w:trPr>
          <w:trHeight w:val="300"/>
        </w:trPr>
        <w:tc>
          <w:tcPr>
            <w:tcW w:w="13609" w:type="dxa"/>
            <w:gridSpan w:val="11"/>
            <w:noWrap/>
            <w:hideMark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Kaaja 1993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1305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247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47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1275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(100%)</w:t>
            </w:r>
          </w:p>
        </w:tc>
        <w:tc>
          <w:tcPr>
            <w:tcW w:w="1276" w:type="dxa"/>
            <w:noWrap/>
          </w:tcPr>
          <w:p w:rsidR="000A7ECF" w:rsidRPr="000C64DF" w:rsidRDefault="000A7ECF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1.00</w:t>
            </w:r>
          </w:p>
        </w:tc>
        <w:tc>
          <w:tcPr>
            <w:tcW w:w="1276" w:type="dxa"/>
          </w:tcPr>
          <w:p w:rsidR="000A7ECF" w:rsidRPr="000C64DF" w:rsidRDefault="00816210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0A7ECF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risk of bias</w:t>
            </w:r>
          </w:p>
        </w:tc>
      </w:tr>
      <w:bookmarkEnd w:id="8"/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1997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 (90.9%)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Kahwa 2006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27 (96.4%)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Unclear risk of bias</w:t>
            </w: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Del Ross 2013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45 (95.7%)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 (94.4%)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Intermediate quality</w:t>
            </w: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 and indirect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RR </w:t>
            </w:r>
            <w:r w:rsidR="001A7013"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.98 (0.90</w:t>
            </w:r>
            <w:r w:rsidR="001A7013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1.07); I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=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CF" w:rsidRPr="000C64DF" w:rsidTr="000C64DF">
        <w:trPr>
          <w:trHeight w:val="300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Kahwa 2006</w:t>
            </w:r>
            <w:r w:rsidR="00A554A8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1A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r w:rsidR="000A7ECF" w:rsidRPr="000C64DF">
              <w:rPr>
                <w:rFonts w:ascii="Times New Roman" w:hAnsi="Times New Roman" w:cs="Times New Roman"/>
                <w:sz w:val="20"/>
                <w:szCs w:val="20"/>
              </w:rPr>
              <w:t>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ECF" w:rsidRPr="000C64DF" w:rsidRDefault="001A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Unclear risk of bias</w:t>
            </w:r>
          </w:p>
        </w:tc>
      </w:tr>
      <w:tr w:rsidR="000A7ECF" w:rsidRPr="000C64DF" w:rsidTr="000C64DF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Del Ross 2013</w:t>
            </w:r>
            <w:r w:rsidR="002C739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(8.5%)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3.50 (0.20 - 63.0)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F" w:rsidRPr="000C64DF" w:rsidRDefault="000A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Intermediate quality</w:t>
            </w:r>
          </w:p>
        </w:tc>
      </w:tr>
    </w:tbl>
    <w:p w:rsidR="00161CAC" w:rsidRPr="000C64DF" w:rsidRDefault="00161CA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CAC" w:rsidRPr="000C64DF" w:rsidRDefault="00161CAC" w:rsidP="004447BC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RR = risk ratio; CI = confidence interval; na = not applicable.</w:t>
      </w:r>
    </w:p>
    <w:p w:rsidR="00161CAC" w:rsidRPr="000C64DF" w:rsidRDefault="00161CAC" w:rsidP="004447BC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C64DF" w:rsidRPr="000C64DF" w:rsidRDefault="000C64DF" w:rsidP="004447BC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1CAC" w:rsidRPr="000C64DF" w:rsidRDefault="00161CAC" w:rsidP="004447BC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1CAC" w:rsidRPr="000500EA" w:rsidRDefault="00161CAC" w:rsidP="004447BC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0500EA" w:rsidRPr="000500EA" w:rsidRDefault="002B4CD7" w:rsidP="004447BC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</w:t>
      </w:r>
      <w:r w:rsidR="005F0D10" w:rsidRPr="000500EA">
        <w:rPr>
          <w:rFonts w:ascii="Times New Roman" w:hAnsi="Times New Roman" w:cs="Times New Roman"/>
        </w:rPr>
        <w:t>lemental t</w:t>
      </w:r>
      <w:r w:rsidR="004447BC" w:rsidRPr="000500EA">
        <w:rPr>
          <w:rFonts w:ascii="Times New Roman" w:hAnsi="Times New Roman" w:cs="Times New Roman"/>
        </w:rPr>
        <w:t xml:space="preserve">able </w:t>
      </w:r>
      <w:r w:rsidR="005F0D10" w:rsidRPr="000500EA">
        <w:rPr>
          <w:rFonts w:ascii="Times New Roman" w:hAnsi="Times New Roman" w:cs="Times New Roman"/>
        </w:rPr>
        <w:t>8</w:t>
      </w:r>
      <w:r w:rsidRPr="000500EA">
        <w:rPr>
          <w:rFonts w:ascii="Times New Roman" w:hAnsi="Times New Roman" w:cs="Times New Roman"/>
        </w:rPr>
        <w:t>.</w:t>
      </w:r>
      <w:r w:rsidR="004447BC" w:rsidRPr="000500EA">
        <w:rPr>
          <w:rFonts w:ascii="Times New Roman" w:hAnsi="Times New Roman" w:cs="Times New Roman"/>
        </w:rPr>
        <w:t xml:space="preserve">  </w:t>
      </w:r>
      <w:r w:rsidR="005F0D10" w:rsidRPr="000500EA">
        <w:rPr>
          <w:rFonts w:ascii="Times New Roman" w:hAnsi="Times New Roman" w:cs="Times New Roman"/>
        </w:rPr>
        <w:t>Pregnancy outcomes in mixed treatment and single treatment arm studi</w:t>
      </w:r>
      <w:r w:rsidR="006D7186" w:rsidRPr="000500EA">
        <w:rPr>
          <w:rFonts w:ascii="Times New Roman" w:hAnsi="Times New Roman" w:cs="Times New Roman"/>
        </w:rPr>
        <w:t xml:space="preserve">es of low dose aspirin (LDA) and heparin in </w:t>
      </w:r>
      <w:r w:rsidR="000500EA" w:rsidRPr="000500EA">
        <w:rPr>
          <w:rFonts w:ascii="Times New Roman" w:hAnsi="Times New Roman" w:cs="Times New Roman"/>
        </w:rPr>
        <w:t xml:space="preserve"> </w:t>
      </w:r>
      <w:r w:rsidR="006D7186" w:rsidRPr="000500EA">
        <w:rPr>
          <w:rFonts w:ascii="Times New Roman" w:hAnsi="Times New Roman" w:cs="Times New Roman"/>
        </w:rPr>
        <w:t>p</w:t>
      </w:r>
      <w:r w:rsidR="004447BC" w:rsidRPr="000500EA">
        <w:rPr>
          <w:rFonts w:ascii="Times New Roman" w:hAnsi="Times New Roman" w:cs="Times New Roman"/>
        </w:rPr>
        <w:t xml:space="preserve">regnant women </w:t>
      </w:r>
      <w:r w:rsidR="00A67036" w:rsidRPr="000500EA">
        <w:rPr>
          <w:rFonts w:ascii="Times New Roman" w:hAnsi="Times New Roman" w:cs="Times New Roman"/>
        </w:rPr>
        <w:t xml:space="preserve">with definite </w:t>
      </w:r>
      <w:r w:rsidR="006D7186" w:rsidRPr="000500EA">
        <w:rPr>
          <w:rFonts w:ascii="Times New Roman" w:hAnsi="Times New Roman" w:cs="Times New Roman"/>
        </w:rPr>
        <w:t>antiphospholipid syndrome</w:t>
      </w:r>
      <w:r w:rsidR="00A67036" w:rsidRPr="000500EA">
        <w:rPr>
          <w:rFonts w:ascii="Times New Roman" w:hAnsi="Times New Roman" w:cs="Times New Roman"/>
        </w:rPr>
        <w:t xml:space="preserve"> and </w:t>
      </w:r>
      <w:r w:rsidR="004447BC" w:rsidRPr="000500EA">
        <w:rPr>
          <w:rFonts w:ascii="Times New Roman" w:hAnsi="Times New Roman" w:cs="Times New Roman"/>
        </w:rPr>
        <w:t xml:space="preserve">a history of three recurrent spontaneous abortions </w:t>
      </w:r>
      <w:r w:rsidR="006D7186" w:rsidRPr="000500EA">
        <w:rPr>
          <w:rFonts w:ascii="Times New Roman" w:hAnsi="Times New Roman" w:cs="Times New Roman"/>
        </w:rPr>
        <w:t xml:space="preserve">at or before the </w:t>
      </w:r>
      <w:r w:rsidR="006B24A0" w:rsidRPr="000500EA">
        <w:rPr>
          <w:rFonts w:ascii="Times New Roman" w:hAnsi="Times New Roman" w:cs="Times New Roman"/>
        </w:rPr>
        <w:t>10</w:t>
      </w:r>
      <w:r w:rsidR="006D7186" w:rsidRPr="000500EA">
        <w:rPr>
          <w:rFonts w:ascii="Times New Roman" w:hAnsi="Times New Roman" w:cs="Times New Roman"/>
        </w:rPr>
        <w:t xml:space="preserve">th </w:t>
      </w:r>
      <w:r w:rsidR="004447BC" w:rsidRPr="000500EA">
        <w:rPr>
          <w:rFonts w:ascii="Times New Roman" w:hAnsi="Times New Roman" w:cs="Times New Roman"/>
        </w:rPr>
        <w:t>week</w:t>
      </w:r>
      <w:r w:rsidR="000500EA" w:rsidRPr="000500EA">
        <w:rPr>
          <w:rFonts w:ascii="Times New Roman" w:hAnsi="Times New Roman" w:cs="Times New Roman"/>
        </w:rPr>
        <w:t xml:space="preserve">  </w:t>
      </w:r>
      <w:r w:rsidR="004447BC" w:rsidRPr="000500EA">
        <w:rPr>
          <w:rFonts w:ascii="Times New Roman" w:hAnsi="Times New Roman" w:cs="Times New Roman"/>
        </w:rPr>
        <w:t>of gestation</w:t>
      </w:r>
      <w:r w:rsidR="006D7186" w:rsidRPr="000500EA">
        <w:rPr>
          <w:rFonts w:ascii="Times New Roman" w:hAnsi="Times New Roman" w:cs="Times New Roman"/>
        </w:rPr>
        <w:t>.</w:t>
      </w:r>
    </w:p>
    <w:p w:rsidR="003331A8" w:rsidRPr="000C64DF" w:rsidRDefault="006D718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64DF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37"/>
        <w:gridCol w:w="1425"/>
        <w:gridCol w:w="1527"/>
        <w:gridCol w:w="2126"/>
        <w:gridCol w:w="1276"/>
        <w:gridCol w:w="1275"/>
        <w:gridCol w:w="1418"/>
        <w:gridCol w:w="1276"/>
      </w:tblGrid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529994003"/>
            <w:bookmarkEnd w:id="7"/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patients, intervention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patients, control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Events, intervention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6D71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Events, control</w:t>
            </w: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 births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prednisone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(75%)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(75%)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Pattison 2000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81</w:t>
            </w:r>
          </w:p>
        </w:tc>
        <w:tc>
          <w:tcPr>
            <w:tcW w:w="1337" w:type="dxa"/>
            <w:noWrap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(80 %)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  (85 %)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Stephenson 2004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82</w:t>
            </w:r>
          </w:p>
        </w:tc>
        <w:tc>
          <w:tcPr>
            <w:tcW w:w="1337" w:type="dxa"/>
            <w:noWrap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(69.2%)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(30.8%)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Ghosh 2008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UFH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(100%)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(69.6%)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Dadhwal 2011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(enoxaparin 40 mg od or UFH 5000 bd)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treatment/previous pregnancies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  (85.7%)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6 (4.6%)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337" w:type="dxa"/>
            <w:noWrap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69 (86%)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44 (72%)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Rodger 2014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1337" w:type="dxa"/>
            <w:noWrap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LMWH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(33%)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Alijotas-Reig 2018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175 (82.1%)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 (51.4%)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Backos 1999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107 (71%)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15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 (87 %)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Diejomaoh 2002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 + LDA + heparin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(83%)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Noble 2005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UFH+LDA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 (84%)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 (80%)</w:t>
            </w:r>
          </w:p>
        </w:tc>
      </w:tr>
      <w:tr w:rsidR="006D7186" w:rsidRPr="000C64DF" w:rsidTr="00E64BF3">
        <w:trPr>
          <w:trHeight w:val="315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IVIG+ LDA + heparin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 (85%)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 (90%)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(91%)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3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 (81%)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Glasnovic 2007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 (97.2%)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 + LDA + heparin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59 (74.3%)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 (83.7%)</w:t>
            </w:r>
          </w:p>
        </w:tc>
      </w:tr>
      <w:tr w:rsidR="006D7186" w:rsidRPr="000C64DF" w:rsidTr="00E64BF3">
        <w:trPr>
          <w:trHeight w:val="33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Serrano 2009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57 (85.1%)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Mo 2009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 (80%)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56 (93%)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Fouda 2010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enoxaparin 40 mg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enoxaparin 20 mg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 (76.7%)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 (70%)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Simchen 2011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45 (82%)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Lefevre 2011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(71%)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A554A8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 (91.5%)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 (100%)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357 (69%)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 (80%)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BF7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124 (76.5%)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BF7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Latino 2017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88 (83%)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Miscarriages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Backos 1999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heparin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 (18.7%)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 + LDA + heparin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(6.4%)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(6.9%)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Mo 2009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low dose enoxaparin (20 mg)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(20%)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91 (17.7%)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175 (22.1%)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Latino 2017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 (10.4%)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prednisone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D7186" w:rsidRPr="000C64DF" w:rsidTr="00E64BF3">
        <w:trPr>
          <w:trHeight w:val="33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Pattison 2000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81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2126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(12.5%)</w:t>
            </w:r>
          </w:p>
        </w:tc>
        <w:tc>
          <w:tcPr>
            <w:tcW w:w="1276" w:type="dxa"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6B272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(3.75%)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(3.3%)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Backos 1999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26 (24%)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+ IVIG</w:t>
            </w:r>
          </w:p>
        </w:tc>
        <w:tc>
          <w:tcPr>
            <w:tcW w:w="212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(20%)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 (13.8%)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Serrano 2009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 (21%)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Fouda 2010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40 mg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20 mg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(9.5%)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Lefevre 2011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hideMark/>
          </w:tcPr>
          <w:p w:rsidR="006D7186" w:rsidRPr="000C64DF" w:rsidRDefault="006B24A0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+L</w:t>
            </w:r>
            <w:r w:rsidR="006D7186" w:rsidRPr="000C64DF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212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3/16 (18.8%)</w:t>
            </w:r>
          </w:p>
        </w:tc>
        <w:tc>
          <w:tcPr>
            <w:tcW w:w="1276" w:type="dxa"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53.40%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89 (24.9%)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Latino 2017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 (10.4%)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prednisone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(37.5%)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(1.25%)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+ IVIG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(15%)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(5.1%)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IVIG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(11.5%)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(2.3%)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Fouda 2010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40 mg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20 mg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(6.7%)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study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 (10.3%)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31 (21%)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Latino 2017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(5%)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Maternal thrombosis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(14%)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Simchen 2011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(12.7%)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 (17.2%)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86" w:rsidRPr="000C64DF" w:rsidTr="00E64BF3">
        <w:trPr>
          <w:trHeight w:val="300"/>
        </w:trPr>
        <w:tc>
          <w:tcPr>
            <w:tcW w:w="13008" w:type="dxa"/>
            <w:gridSpan w:val="9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Intrauterine growth retardation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Dadhwal 2011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(enoxaparin 40 mg od or UFH 5000 bd)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(21.4%)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Backos 1999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heparin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22 (14.7%)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(11%)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+ IVIG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Fouda 2010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40 mg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20 mg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(6.7%)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(3.3%)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D7186" w:rsidRPr="000C64DF" w:rsidTr="00E64BF3">
        <w:trPr>
          <w:trHeight w:val="300"/>
        </w:trPr>
        <w:tc>
          <w:tcPr>
            <w:tcW w:w="134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Latino 2017</w:t>
            </w:r>
            <w:r w:rsidR="009875E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133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425" w:type="dxa"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527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12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(6%)</w:t>
            </w:r>
          </w:p>
        </w:tc>
        <w:tc>
          <w:tcPr>
            <w:tcW w:w="1276" w:type="dxa"/>
            <w:noWrap/>
            <w:hideMark/>
          </w:tcPr>
          <w:p w:rsidR="006D7186" w:rsidRPr="000C64DF" w:rsidRDefault="006D7186" w:rsidP="005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bookmarkEnd w:id="9"/>
    </w:tbl>
    <w:p w:rsidR="00D10C5E" w:rsidRPr="000C64DF" w:rsidRDefault="00D10C5E" w:rsidP="003331A8">
      <w:pPr>
        <w:spacing w:line="240" w:lineRule="auto"/>
        <w:rPr>
          <w:rFonts w:ascii="Times New Roman" w:hAnsi="Times New Roman" w:cs="Times New Roman"/>
          <w:sz w:val="20"/>
          <w:szCs w:val="20"/>
          <w:lang w:val="el-GR"/>
        </w:rPr>
      </w:pPr>
    </w:p>
    <w:p w:rsidR="00AA27FD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UFH = unfractionated heparin; LMWH = low molecular weight heparin; IVIG = intravenous</w:t>
      </w:r>
      <w:r w:rsidR="000500EA">
        <w:rPr>
          <w:rFonts w:ascii="Times New Roman" w:hAnsi="Times New Roman" w:cs="Times New Roman"/>
        </w:rPr>
        <w:t xml:space="preserve">  </w:t>
      </w:r>
      <w:r w:rsidRPr="000500EA">
        <w:rPr>
          <w:rFonts w:ascii="Times New Roman" w:hAnsi="Times New Roman" w:cs="Times New Roman"/>
        </w:rPr>
        <w:t>immunoglobulin; na = not applicable.</w:t>
      </w: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4BF3" w:rsidRDefault="00E64BF3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4BF3" w:rsidRDefault="00E64BF3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4BF3" w:rsidRDefault="00E64BF3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4BF3" w:rsidRDefault="00E64BF3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333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1A8" w:rsidRPr="000500EA" w:rsidRDefault="00B62C78" w:rsidP="003331A8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3331A8" w:rsidRPr="000500EA">
        <w:rPr>
          <w:rFonts w:ascii="Times New Roman" w:hAnsi="Times New Roman" w:cs="Times New Roman"/>
        </w:rPr>
        <w:t>emental t</w:t>
      </w:r>
      <w:r w:rsidR="00A67036" w:rsidRPr="000500EA">
        <w:rPr>
          <w:rFonts w:ascii="Times New Roman" w:hAnsi="Times New Roman" w:cs="Times New Roman"/>
        </w:rPr>
        <w:t xml:space="preserve">able </w:t>
      </w:r>
      <w:r w:rsidR="003331A8" w:rsidRPr="000500EA">
        <w:rPr>
          <w:rFonts w:ascii="Times New Roman" w:hAnsi="Times New Roman" w:cs="Times New Roman"/>
        </w:rPr>
        <w:t>9</w:t>
      </w:r>
      <w:r w:rsidR="002D2084" w:rsidRPr="000500EA">
        <w:rPr>
          <w:rFonts w:ascii="Times New Roman" w:hAnsi="Times New Roman" w:cs="Times New Roman"/>
        </w:rPr>
        <w:t>.</w:t>
      </w:r>
      <w:r w:rsidR="004447BC" w:rsidRPr="000500EA">
        <w:rPr>
          <w:rFonts w:ascii="Times New Roman" w:hAnsi="Times New Roman" w:cs="Times New Roman"/>
        </w:rPr>
        <w:t xml:space="preserve">  </w:t>
      </w:r>
      <w:r w:rsidR="003331A8" w:rsidRPr="000500EA">
        <w:rPr>
          <w:rFonts w:ascii="Times New Roman" w:hAnsi="Times New Roman" w:cs="Times New Roman"/>
        </w:rPr>
        <w:t xml:space="preserve">Pregnancy outcomes in mixed treatment and single treatment arm studies of low dose aspirin (LDA) and heparin in </w:t>
      </w:r>
    </w:p>
    <w:p w:rsidR="004447BC" w:rsidRPr="000500EA" w:rsidRDefault="003331A8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pregnant women with definite antiphospholipid syndrome and a history of fetal loss.  </w:t>
      </w:r>
    </w:p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511" w:type="dxa"/>
        <w:tblLook w:val="04A0" w:firstRow="1" w:lastRow="0" w:firstColumn="1" w:lastColumn="0" w:noHBand="0" w:noVBand="1"/>
      </w:tblPr>
      <w:tblGrid>
        <w:gridCol w:w="1705"/>
        <w:gridCol w:w="1249"/>
        <w:gridCol w:w="1568"/>
        <w:gridCol w:w="2028"/>
        <w:gridCol w:w="2083"/>
        <w:gridCol w:w="1261"/>
        <w:gridCol w:w="1070"/>
        <w:gridCol w:w="1261"/>
        <w:gridCol w:w="1286"/>
      </w:tblGrid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1992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prednisone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(75%)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(75%)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Stephenson 2004</w:t>
            </w:r>
            <w:r w:rsidR="00BF780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82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(69.2%)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(30.8%)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Ghosh 2008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83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UFH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(100%)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(69.6%)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Dadhwal 2011 77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(enoxaparin 40 mg od or UFH 5000 bd)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treatment/previous pregnancies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 (85.7%)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6 (4.6%)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69 (86%)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44 (72%)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Rodger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LMWH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(33%)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(30%)</w:t>
            </w:r>
          </w:p>
        </w:tc>
      </w:tr>
      <w:tr w:rsidR="00280AE7" w:rsidRPr="000C64DF" w:rsidTr="00280AE7">
        <w:trPr>
          <w:trHeight w:val="315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Alijotas-Reig 2018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175 (82.1%)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 (51.4%)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Font, 1991</w:t>
            </w:r>
            <w:r w:rsidR="00CE7CFA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(80%)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="00FE483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IVIG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placebo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(100%)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Venkat-Raman 2001</w:t>
            </w:r>
            <w:r w:rsidR="00FE483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164 (96.5%)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FE483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FE483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 (87 %)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Bats 2004</w:t>
            </w:r>
            <w:r w:rsidR="00FE483D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31 (94%)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(91%)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 (81%)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Glasnovic 2007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 (97.2%)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Serrano 2009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57 (85.1%)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56 (93%)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Simchen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45 (82%)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Calderon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 (100%)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Lefevre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(71%)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Ruffatti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32 (97%)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 (91.5%)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 (100%)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357 (69%)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 (80%)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124 (76.5%)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Miscarriage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IVIG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placebo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(33%)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Venkat-Raman 2001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 (13%)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Bats 2004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 (24.2%)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 (13.8%)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Serrano 2009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 (21%)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 (25%)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Calderon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(8%)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0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Ruffatti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 in increasing dose during progression of pregnancy + standard LDA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(3.1%)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Lefevre 2011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0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3/16 (18.8%)</w:t>
            </w:r>
          </w:p>
        </w:tc>
        <w:tc>
          <w:tcPr>
            <w:tcW w:w="1286" w:type="dxa"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 (53.4%)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89 (24.9%)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30173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Cowchock 1992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LDA+prednisone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(3.75%)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247" w:type="dxa"/>
            <w:noWrap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(1.25%)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28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Venkat-Raman 2001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7 (4.1%) 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Bats 2004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(5.1%)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Calderon 2011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Bouvier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 (10.3%)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(prophylactic)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31 (21%)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Maternal thrombosis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Alalaf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(14%)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A/Magid 2007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UFH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Simchen 2011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(12.7%)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Rezk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(prophylactic)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28 (17.2%)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7" w:rsidRPr="000C64DF" w:rsidTr="00280AE7">
        <w:trPr>
          <w:trHeight w:val="300"/>
        </w:trPr>
        <w:tc>
          <w:tcPr>
            <w:tcW w:w="13511" w:type="dxa"/>
            <w:gridSpan w:val="9"/>
            <w:noWrap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Intrauterine growth retardation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Dadhwal 2011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(enoxaparin 40 mg od or UFH 5000 bd)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treatment/previous pregnancies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(21.4%)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LDA+heparin+IVIG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LDA+heparin+placebo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(14%)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(33%)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Bats 2004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(21.2%)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(11%)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Mekinian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LDA + LMWH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0AE7" w:rsidRPr="000C64DF" w:rsidTr="00280AE7">
        <w:trPr>
          <w:trHeight w:val="300"/>
        </w:trPr>
        <w:tc>
          <w:tcPr>
            <w:tcW w:w="1705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585" w:type="dxa"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28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</w:t>
            </w:r>
          </w:p>
        </w:tc>
        <w:tc>
          <w:tcPr>
            <w:tcW w:w="2083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286" w:type="dxa"/>
            <w:noWrap/>
            <w:hideMark/>
          </w:tcPr>
          <w:p w:rsidR="00280AE7" w:rsidRPr="000C64DF" w:rsidRDefault="00280AE7" w:rsidP="0033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:rsidR="000500EA" w:rsidRDefault="000500EA" w:rsidP="00F41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1EB5" w:rsidRPr="000C64DF" w:rsidRDefault="00F41EB5" w:rsidP="00F41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64DF">
        <w:rPr>
          <w:rFonts w:ascii="Times New Roman" w:hAnsi="Times New Roman" w:cs="Times New Roman"/>
          <w:sz w:val="20"/>
          <w:szCs w:val="20"/>
        </w:rPr>
        <w:t xml:space="preserve">RCT = randomized controlled trial; UFH = unfractionated heparin; LMWH = low molecular weight heparin; na = not applicable.   </w:t>
      </w:r>
    </w:p>
    <w:p w:rsidR="004447BC" w:rsidRPr="000C64DF" w:rsidRDefault="004447BC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4447BC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7685" w:rsidRPr="000500EA" w:rsidRDefault="00A67036" w:rsidP="00E95537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E95537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E95537" w:rsidRPr="000500EA">
        <w:rPr>
          <w:rFonts w:ascii="Times New Roman" w:hAnsi="Times New Roman" w:cs="Times New Roman"/>
        </w:rPr>
        <w:t>t</w:t>
      </w:r>
      <w:r w:rsidRPr="000500EA">
        <w:rPr>
          <w:rFonts w:ascii="Times New Roman" w:hAnsi="Times New Roman" w:cs="Times New Roman"/>
        </w:rPr>
        <w:t>able</w:t>
      </w:r>
      <w:r w:rsidR="00B62C78" w:rsidRPr="000500EA">
        <w:rPr>
          <w:rFonts w:ascii="Times New Roman" w:hAnsi="Times New Roman" w:cs="Times New Roman"/>
        </w:rPr>
        <w:t xml:space="preserve"> </w:t>
      </w:r>
      <w:r w:rsidR="00E95537" w:rsidRPr="000500EA">
        <w:rPr>
          <w:rFonts w:ascii="Times New Roman" w:hAnsi="Times New Roman" w:cs="Times New Roman"/>
        </w:rPr>
        <w:t>10</w:t>
      </w:r>
      <w:r w:rsidR="004447BC" w:rsidRPr="000500EA">
        <w:rPr>
          <w:rFonts w:ascii="Times New Roman" w:hAnsi="Times New Roman" w:cs="Times New Roman"/>
        </w:rPr>
        <w:t xml:space="preserve">.  </w:t>
      </w:r>
      <w:r w:rsidR="00E95537" w:rsidRPr="000500EA">
        <w:rPr>
          <w:rFonts w:ascii="Times New Roman" w:hAnsi="Times New Roman" w:cs="Times New Roman"/>
        </w:rPr>
        <w:t xml:space="preserve">Pregnancy outcomes in studies of low dose aspirin (LDA) and heparin in pregnant women with definite antiphospholipid </w:t>
      </w:r>
    </w:p>
    <w:p w:rsidR="004447BC" w:rsidRPr="000500EA" w:rsidRDefault="00E95537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syndrome and a history of deliver before 34 weeks gestation due to severe pre-eclampsia or placental insufficiency.  </w:t>
      </w:r>
    </w:p>
    <w:p w:rsidR="00B37685" w:rsidRPr="000C64DF" w:rsidRDefault="00B37685" w:rsidP="00E955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432"/>
        <w:gridCol w:w="1249"/>
        <w:gridCol w:w="1272"/>
        <w:gridCol w:w="1360"/>
        <w:gridCol w:w="1020"/>
        <w:gridCol w:w="1261"/>
        <w:gridCol w:w="1116"/>
        <w:gridCol w:w="1261"/>
        <w:gridCol w:w="1104"/>
        <w:gridCol w:w="1355"/>
        <w:gridCol w:w="975"/>
      </w:tblGrid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van Hoorn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 (87.5%)</w:t>
            </w: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(100%)</w:t>
            </w: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Munoz-Rodriguez 1999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 (83%)</w:t>
            </w: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 (78%)</w:t>
            </w: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quality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 Total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RR 0.96 (0.79 - 1.16);</w:t>
            </w:r>
          </w:p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C64D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0%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 (87 %)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Glasnovic 2007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 (97.2%)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56 (93%)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 (91%)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 (80%)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Rodger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LMWH 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 LMWH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(33%)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(30%)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Saccone 2017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118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357 (56.6%)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Miscarriages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retrospective study 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(12%)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van Hoorn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(18.8%)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(12.5%)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RR = 1.50 (0.29, 7.81)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Cs/>
                <w:sz w:val="20"/>
                <w:szCs w:val="20"/>
              </w:rPr>
              <w:t>High risk of bias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retrospective study 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 (25%)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 Carolis 2012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 (53.4%)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E9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296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Fawad 2010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retrospective study 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4/56 (7%)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Maternal thrombosis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van Hoorn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not estimable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Pauzner 2001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(14%)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Intrauterine growth retardation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Cetkovic 2014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(20%)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85" w:rsidRPr="000C64DF" w:rsidTr="00984C79">
        <w:trPr>
          <w:trHeight w:val="300"/>
        </w:trPr>
        <w:tc>
          <w:tcPr>
            <w:tcW w:w="13405" w:type="dxa"/>
            <w:gridSpan w:val="11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Small for gestational age</w:t>
            </w:r>
          </w:p>
        </w:tc>
      </w:tr>
      <w:tr w:rsidR="00B37685" w:rsidRPr="000C64DF" w:rsidTr="00B37685">
        <w:trPr>
          <w:trHeight w:val="300"/>
        </w:trPr>
        <w:tc>
          <w:tcPr>
            <w:tcW w:w="1432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van Hoorn 2016</w:t>
            </w:r>
            <w:r w:rsidR="005D11B4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  <w:tc>
          <w:tcPr>
            <w:tcW w:w="136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020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(18.8%)</w:t>
            </w:r>
          </w:p>
        </w:tc>
        <w:tc>
          <w:tcPr>
            <w:tcW w:w="1104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(18.8%)</w:t>
            </w:r>
          </w:p>
        </w:tc>
        <w:tc>
          <w:tcPr>
            <w:tcW w:w="1355" w:type="dxa"/>
            <w:noWrap/>
            <w:hideMark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1.00 (0.24 - 4.23)</w:t>
            </w:r>
          </w:p>
        </w:tc>
        <w:tc>
          <w:tcPr>
            <w:tcW w:w="1010" w:type="dxa"/>
          </w:tcPr>
          <w:p w:rsidR="00B37685" w:rsidRPr="000C64DF" w:rsidRDefault="00B37685" w:rsidP="0044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risk of bias</w:t>
            </w:r>
          </w:p>
        </w:tc>
      </w:tr>
    </w:tbl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RCT = randomized controlled trial; LMWH = low molecular weight heparin; na = not applicable.   </w:t>
      </w: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036" w:rsidRPr="000C64DF" w:rsidRDefault="00A67036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A88" w:rsidRPr="000500EA" w:rsidRDefault="001125E9" w:rsidP="004447BC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</w:t>
      </w:r>
      <w:r w:rsidR="002D2084" w:rsidRPr="000500EA">
        <w:rPr>
          <w:rFonts w:ascii="Times New Roman" w:hAnsi="Times New Roman" w:cs="Times New Roman"/>
        </w:rPr>
        <w:t>ppl</w:t>
      </w:r>
      <w:r w:rsidR="00F3295A" w:rsidRPr="000500EA">
        <w:rPr>
          <w:rFonts w:ascii="Times New Roman" w:hAnsi="Times New Roman" w:cs="Times New Roman"/>
        </w:rPr>
        <w:t>emental t</w:t>
      </w:r>
      <w:r w:rsidR="002D2084" w:rsidRPr="000500EA">
        <w:rPr>
          <w:rFonts w:ascii="Times New Roman" w:hAnsi="Times New Roman" w:cs="Times New Roman"/>
        </w:rPr>
        <w:t xml:space="preserve">able </w:t>
      </w:r>
      <w:r w:rsidR="00F3295A" w:rsidRPr="000500EA">
        <w:rPr>
          <w:rFonts w:ascii="Times New Roman" w:hAnsi="Times New Roman" w:cs="Times New Roman"/>
        </w:rPr>
        <w:t>11</w:t>
      </w:r>
      <w:r w:rsidR="002D2084" w:rsidRPr="000500EA">
        <w:rPr>
          <w:rFonts w:ascii="Times New Roman" w:hAnsi="Times New Roman" w:cs="Times New Roman"/>
        </w:rPr>
        <w:t xml:space="preserve">. </w:t>
      </w:r>
      <w:r w:rsidR="00533A88" w:rsidRPr="000500EA">
        <w:rPr>
          <w:rFonts w:ascii="Times New Roman" w:hAnsi="Times New Roman" w:cs="Times New Roman"/>
        </w:rPr>
        <w:t xml:space="preserve"> Prevalence </w:t>
      </w:r>
      <w:r w:rsidR="00F3295A" w:rsidRPr="000500EA">
        <w:rPr>
          <w:rFonts w:ascii="Times New Roman" w:hAnsi="Times New Roman" w:cs="Times New Roman"/>
        </w:rPr>
        <w:t xml:space="preserve">of post-partum maternal thrombosis with continuation or no continuation of </w:t>
      </w:r>
      <w:r w:rsidR="00BB3311" w:rsidRPr="000500EA">
        <w:rPr>
          <w:rFonts w:ascii="Times New Roman" w:hAnsi="Times New Roman" w:cs="Times New Roman"/>
        </w:rPr>
        <w:t>heparin after delivery</w:t>
      </w:r>
      <w:r w:rsidR="00F3295A" w:rsidRPr="000500EA">
        <w:rPr>
          <w:rFonts w:ascii="Times New Roman" w:hAnsi="Times New Roman" w:cs="Times New Roman"/>
        </w:rPr>
        <w:t xml:space="preserve"> in </w:t>
      </w:r>
    </w:p>
    <w:p w:rsidR="00F3295A" w:rsidRPr="000500EA" w:rsidRDefault="00F3295A" w:rsidP="004447BC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women with antiphospholipid syndrome.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317"/>
        <w:gridCol w:w="1272"/>
        <w:gridCol w:w="2040"/>
        <w:gridCol w:w="1170"/>
        <w:gridCol w:w="1350"/>
        <w:gridCol w:w="1260"/>
        <w:gridCol w:w="1350"/>
        <w:gridCol w:w="1170"/>
      </w:tblGrid>
      <w:tr w:rsidR="00F3295A" w:rsidRPr="000C64DF" w:rsidTr="008D4345">
        <w:trPr>
          <w:trHeight w:val="300"/>
        </w:trPr>
        <w:tc>
          <w:tcPr>
            <w:tcW w:w="1491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317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67" w:type="dxa"/>
          </w:tcPr>
          <w:p w:rsidR="00F3295A" w:rsidRPr="000C64DF" w:rsidRDefault="00F3295A" w:rsidP="002D20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204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17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35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26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35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17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</w:t>
            </w:r>
            <w:r w:rsidR="008D4345"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control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Branch 1992</w:t>
            </w:r>
            <w:r w:rsidR="006B24A0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120</w:t>
            </w:r>
          </w:p>
        </w:tc>
        <w:tc>
          <w:tcPr>
            <w:tcW w:w="1317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F3295A" w:rsidRPr="000C64DF" w:rsidRDefault="00F3295A" w:rsidP="002D20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Heparin in post-partum</w:t>
            </w:r>
          </w:p>
        </w:tc>
        <w:tc>
          <w:tcPr>
            <w:tcW w:w="117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(3.4%)</w:t>
            </w:r>
          </w:p>
        </w:tc>
        <w:tc>
          <w:tcPr>
            <w:tcW w:w="1170" w:type="dxa"/>
            <w:noWrap/>
            <w:hideMark/>
          </w:tcPr>
          <w:p w:rsidR="00F3295A" w:rsidRPr="000C64DF" w:rsidRDefault="00F3295A" w:rsidP="002D2084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Cowchock 1992</w:t>
            </w:r>
            <w:r w:rsidR="00951D97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randomized 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Heparin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Kutteh 1996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121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Heparin for 2-3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Lima 1996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Granger 1997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(6.2%)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Serrano 2009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4-6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Ruffatti 2011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Fischer-Betz 2012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(5%)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Van Hoorn 2016</w:t>
            </w:r>
            <w:r w:rsidR="00A32F76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randomized 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for 6 weeks post-partum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Triolo 2003</w:t>
            </w:r>
            <w:r w:rsidR="007C61BF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randomized 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stopped at week 37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Laskin 2009</w:t>
            </w:r>
            <w:r w:rsidR="007C61BF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randomized 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stopped at week 35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F3295A" w:rsidRPr="000C64DF" w:rsidTr="008D4345">
        <w:trPr>
          <w:trHeight w:val="300"/>
        </w:trPr>
        <w:tc>
          <w:tcPr>
            <w:tcW w:w="1491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Dendrinos 2009</w:t>
            </w:r>
            <w:r w:rsidR="007C61BF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125</w:t>
            </w:r>
          </w:p>
        </w:tc>
        <w:tc>
          <w:tcPr>
            <w:tcW w:w="1317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randomized controlled trial</w:t>
            </w:r>
          </w:p>
        </w:tc>
        <w:tc>
          <w:tcPr>
            <w:tcW w:w="1267" w:type="dxa"/>
          </w:tcPr>
          <w:p w:rsidR="00F3295A" w:rsidRPr="000C64DF" w:rsidRDefault="00F3295A" w:rsidP="00F32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204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LMWH stopped at  week</w:t>
            </w:r>
            <w:r w:rsidR="008D4345"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</w:tcPr>
          <w:p w:rsidR="00F3295A" w:rsidRPr="000C64DF" w:rsidRDefault="00F3295A" w:rsidP="00F3295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</w:tbl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LMWH = low molecular weight heparin; na = not applicable.</w:t>
      </w: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D2084" w:rsidRPr="000C64DF" w:rsidRDefault="002D2084" w:rsidP="004447BC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566542" w:rsidRPr="000C64DF" w:rsidRDefault="00566542" w:rsidP="00984C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1EB5" w:rsidRPr="000C64DF" w:rsidRDefault="00F41EB5" w:rsidP="00984C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25E9" w:rsidRPr="000500EA" w:rsidRDefault="001125E9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523287" w:rsidRPr="000500EA">
        <w:rPr>
          <w:rFonts w:ascii="Times New Roman" w:hAnsi="Times New Roman" w:cs="Times New Roman"/>
        </w:rPr>
        <w:t>emental</w:t>
      </w:r>
      <w:r w:rsidRPr="000500EA">
        <w:rPr>
          <w:rFonts w:ascii="Times New Roman" w:hAnsi="Times New Roman" w:cs="Times New Roman"/>
        </w:rPr>
        <w:t xml:space="preserve"> </w:t>
      </w:r>
      <w:r w:rsidR="00523287" w:rsidRPr="000500EA">
        <w:rPr>
          <w:rFonts w:ascii="Times New Roman" w:hAnsi="Times New Roman" w:cs="Times New Roman"/>
        </w:rPr>
        <w:t>t</w:t>
      </w:r>
      <w:r w:rsidRPr="000500EA">
        <w:rPr>
          <w:rFonts w:ascii="Times New Roman" w:hAnsi="Times New Roman" w:cs="Times New Roman"/>
        </w:rPr>
        <w:t xml:space="preserve">able </w:t>
      </w:r>
      <w:r w:rsidR="00523287" w:rsidRPr="000500EA">
        <w:rPr>
          <w:rFonts w:ascii="Times New Roman" w:hAnsi="Times New Roman" w:cs="Times New Roman"/>
        </w:rPr>
        <w:t>12</w:t>
      </w:r>
      <w:r w:rsidRPr="000500EA">
        <w:rPr>
          <w:rFonts w:ascii="Times New Roman" w:hAnsi="Times New Roman" w:cs="Times New Roman"/>
        </w:rPr>
        <w:t xml:space="preserve">. </w:t>
      </w:r>
      <w:r w:rsidR="00523287" w:rsidRPr="000500EA">
        <w:rPr>
          <w:rFonts w:ascii="Times New Roman" w:hAnsi="Times New Roman" w:cs="Times New Roman"/>
        </w:rPr>
        <w:t xml:space="preserve"> Pregnancy outcomes in </w:t>
      </w:r>
      <w:r w:rsidR="00984C79" w:rsidRPr="000500EA">
        <w:rPr>
          <w:rFonts w:ascii="Times New Roman" w:hAnsi="Times New Roman" w:cs="Times New Roman"/>
        </w:rPr>
        <w:t>studies of t</w:t>
      </w:r>
      <w:r w:rsidRPr="000500EA">
        <w:rPr>
          <w:rFonts w:ascii="Times New Roman" w:hAnsi="Times New Roman" w:cs="Times New Roman"/>
        </w:rPr>
        <w:t xml:space="preserve">reatment </w:t>
      </w:r>
      <w:r w:rsidR="00984C79" w:rsidRPr="000500EA">
        <w:rPr>
          <w:rFonts w:ascii="Times New Roman" w:hAnsi="Times New Roman" w:cs="Times New Roman"/>
        </w:rPr>
        <w:t>with hydroxychloroquine (HCQ), low dose prednisolone, or intravenous immunoglobulin (IVI</w:t>
      </w:r>
      <w:r w:rsidR="00E64BF3">
        <w:rPr>
          <w:rFonts w:ascii="Times New Roman" w:hAnsi="Times New Roman" w:cs="Times New Roman"/>
        </w:rPr>
        <w:t>G</w:t>
      </w:r>
      <w:r w:rsidR="00984C79" w:rsidRPr="000500EA">
        <w:rPr>
          <w:rFonts w:ascii="Times New Roman" w:hAnsi="Times New Roman" w:cs="Times New Roman"/>
        </w:rPr>
        <w:t xml:space="preserve">) </w:t>
      </w:r>
      <w:r w:rsidRPr="000500EA">
        <w:rPr>
          <w:rFonts w:ascii="Times New Roman" w:hAnsi="Times New Roman" w:cs="Times New Roman"/>
        </w:rPr>
        <w:t xml:space="preserve">in patients with a history of recurrent pregnancy complications despite treatment </w:t>
      </w:r>
      <w:r w:rsidR="00984C79" w:rsidRPr="000500EA">
        <w:rPr>
          <w:rFonts w:ascii="Times New Roman" w:hAnsi="Times New Roman" w:cs="Times New Roman"/>
        </w:rPr>
        <w:t>with low dose aspirin</w:t>
      </w:r>
      <w:r w:rsidRPr="000500EA">
        <w:rPr>
          <w:rFonts w:ascii="Times New Roman" w:hAnsi="Times New Roman" w:cs="Times New Roman"/>
        </w:rPr>
        <w:t xml:space="preserve"> </w:t>
      </w:r>
      <w:r w:rsidR="00984C79" w:rsidRPr="000500EA">
        <w:rPr>
          <w:rFonts w:ascii="Times New Roman" w:hAnsi="Times New Roman" w:cs="Times New Roman"/>
        </w:rPr>
        <w:t>(</w:t>
      </w:r>
      <w:r w:rsidRPr="000500EA">
        <w:rPr>
          <w:rFonts w:ascii="Times New Roman" w:hAnsi="Times New Roman" w:cs="Times New Roman"/>
        </w:rPr>
        <w:t>LDA</w:t>
      </w:r>
      <w:r w:rsidR="00984C79" w:rsidRPr="000500EA">
        <w:rPr>
          <w:rFonts w:ascii="Times New Roman" w:hAnsi="Times New Roman" w:cs="Times New Roman"/>
        </w:rPr>
        <w:t>)</w:t>
      </w:r>
      <w:r w:rsidR="00434E39" w:rsidRPr="000500EA">
        <w:rPr>
          <w:rFonts w:ascii="Times New Roman" w:hAnsi="Times New Roman" w:cs="Times New Roman"/>
        </w:rPr>
        <w:t xml:space="preserve"> and</w:t>
      </w:r>
      <w:r w:rsidR="000500EA" w:rsidRPr="000500EA">
        <w:rPr>
          <w:rFonts w:ascii="Times New Roman" w:hAnsi="Times New Roman" w:cs="Times New Roman"/>
        </w:rPr>
        <w:t xml:space="preserve">  </w:t>
      </w:r>
      <w:r w:rsidRPr="000500EA">
        <w:rPr>
          <w:rFonts w:ascii="Times New Roman" w:hAnsi="Times New Roman" w:cs="Times New Roman"/>
        </w:rPr>
        <w:t>prophylactic dose</w:t>
      </w:r>
      <w:r w:rsidR="000F30CF" w:rsidRPr="000500EA">
        <w:rPr>
          <w:rFonts w:ascii="Times New Roman" w:hAnsi="Times New Roman" w:cs="Times New Roman"/>
        </w:rPr>
        <w:t xml:space="preserve"> heparin</w:t>
      </w:r>
      <w:r w:rsidR="00984C79" w:rsidRPr="000500EA">
        <w:rPr>
          <w:rFonts w:ascii="Times New Roman" w:hAnsi="Times New Roman" w:cs="Times New Roman"/>
        </w:rPr>
        <w:t xml:space="preserve">.  </w:t>
      </w:r>
    </w:p>
    <w:p w:rsidR="000500EA" w:rsidRPr="000C64DF" w:rsidRDefault="000500EA" w:rsidP="00F41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18"/>
        <w:gridCol w:w="1249"/>
        <w:gridCol w:w="1272"/>
        <w:gridCol w:w="1477"/>
        <w:gridCol w:w="1267"/>
        <w:gridCol w:w="1261"/>
        <w:gridCol w:w="957"/>
        <w:gridCol w:w="1261"/>
        <w:gridCol w:w="1128"/>
        <w:gridCol w:w="1260"/>
        <w:gridCol w:w="1405"/>
      </w:tblGrid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26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Events, control</w:t>
            </w:r>
          </w:p>
        </w:tc>
        <w:tc>
          <w:tcPr>
            <w:tcW w:w="1260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Relative effect (95% CI)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Study Quality</w:t>
            </w:r>
          </w:p>
        </w:tc>
      </w:tr>
      <w:tr w:rsidR="000E45FD" w:rsidRPr="000C64DF" w:rsidTr="00DE65D0">
        <w:trPr>
          <w:trHeight w:val="300"/>
        </w:trPr>
        <w:tc>
          <w:tcPr>
            <w:tcW w:w="12415" w:type="dxa"/>
            <w:gridSpan w:val="10"/>
            <w:noWrap/>
          </w:tcPr>
          <w:p w:rsidR="00566542" w:rsidRPr="000C64DF" w:rsidRDefault="00566542" w:rsidP="000F3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Addition of hydroxychloroquine</w:t>
            </w:r>
          </w:p>
        </w:tc>
        <w:tc>
          <w:tcPr>
            <w:tcW w:w="1440" w:type="dxa"/>
          </w:tcPr>
          <w:p w:rsidR="00566542" w:rsidRPr="000C64DF" w:rsidRDefault="00566542" w:rsidP="000F30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  <w:hideMark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Mekinian 2015</w:t>
            </w:r>
            <w:r w:rsidR="007C61BF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126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pre-post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HCQ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  <w:hideMark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LMWH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LDA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10 (71.4%)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 (35.7%)</w:t>
            </w:r>
          </w:p>
        </w:tc>
        <w:tc>
          <w:tcPr>
            <w:tcW w:w="1260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RR 2.0 (0.92 - 4.35)</w:t>
            </w:r>
          </w:p>
        </w:tc>
        <w:tc>
          <w:tcPr>
            <w:tcW w:w="1440" w:type="dxa"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Intermediate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quality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Sciascia 2016</w:t>
            </w:r>
            <w:r w:rsidR="007C61BF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HCQ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(72%)</w:t>
            </w:r>
          </w:p>
        </w:tc>
        <w:tc>
          <w:tcPr>
            <w:tcW w:w="1267" w:type="dxa"/>
            <w:noWrap/>
            <w:hideMark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(79%)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34 (66.7%)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60 (57.1%)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  <w:hideMark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Miscarriage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Sciascia 2016</w:t>
            </w:r>
            <w:r w:rsidR="008F6055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HCQ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(72%)</w:t>
            </w:r>
          </w:p>
        </w:tc>
        <w:tc>
          <w:tcPr>
            <w:tcW w:w="1267" w:type="dxa"/>
            <w:noWrap/>
            <w:hideMark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(79%)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(2%)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13 (10.9%)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  <w:hideMark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Sciascia 2016</w:t>
            </w:r>
            <w:r w:rsidR="008F6055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HCQ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(72%)</w:t>
            </w:r>
          </w:p>
        </w:tc>
        <w:tc>
          <w:tcPr>
            <w:tcW w:w="1267" w:type="dxa"/>
            <w:noWrap/>
            <w:hideMark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(79%)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2 (3.9%)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16 (13.4%)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  <w:hideMark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Sciascia 2016</w:t>
            </w:r>
            <w:r w:rsidR="008F6055" w:rsidRPr="000C6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HCQ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(72%)</w:t>
            </w:r>
          </w:p>
        </w:tc>
        <w:tc>
          <w:tcPr>
            <w:tcW w:w="1267" w:type="dxa"/>
            <w:noWrap/>
            <w:hideMark/>
          </w:tcPr>
          <w:p w:rsidR="000E45FD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+/- LMWH (79%)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7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1 (2%)</w:t>
            </w:r>
          </w:p>
        </w:tc>
        <w:tc>
          <w:tcPr>
            <w:tcW w:w="1128" w:type="dxa"/>
            <w:noWrap/>
            <w:hideMark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8 (6.7%)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2415" w:type="dxa"/>
            <w:gridSpan w:val="10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Addition of low-dose prednisolone in the first trimester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Bramham 2011</w:t>
            </w:r>
            <w:r w:rsidR="007C61BF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128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LMWH + prednisolone </w:t>
            </w: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 (61%)</w:t>
            </w: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 (4%)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14.1 (5.1 - 39.0)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High quality</w:t>
            </w:r>
          </w:p>
        </w:tc>
      </w:tr>
      <w:tr w:rsidR="00DE65D0" w:rsidRPr="000C64DF" w:rsidTr="00DE65D0">
        <w:trPr>
          <w:trHeight w:val="413"/>
        </w:trPr>
        <w:tc>
          <w:tcPr>
            <w:tcW w:w="13855" w:type="dxa"/>
            <w:gridSpan w:val="11"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E65D0" w:rsidRPr="000C64DF" w:rsidTr="00DE65D0">
        <w:trPr>
          <w:trHeight w:val="413"/>
        </w:trPr>
        <w:tc>
          <w:tcPr>
            <w:tcW w:w="13855" w:type="dxa"/>
            <w:gridSpan w:val="11"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Addition of IVIG with or without plasma exchange</w:t>
            </w:r>
          </w:p>
        </w:tc>
      </w:tr>
      <w:tr w:rsidR="00DE65D0" w:rsidRPr="000C64DF" w:rsidTr="00DE65D0">
        <w:trPr>
          <w:trHeight w:val="300"/>
        </w:trPr>
        <w:tc>
          <w:tcPr>
            <w:tcW w:w="13855" w:type="dxa"/>
            <w:gridSpan w:val="11"/>
            <w:noWrap/>
          </w:tcPr>
          <w:p w:rsidR="00DE65D0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Diejomaoh 2002</w:t>
            </w:r>
            <w:r w:rsidR="006B24A0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0E45FD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(LDA+heparin)</w:t>
            </w: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(83.3%)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0E45FD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="006B24A0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566542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0E45FD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 (90%)</w:t>
            </w:r>
          </w:p>
        </w:tc>
        <w:tc>
          <w:tcPr>
            <w:tcW w:w="1128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 (85%)</w:t>
            </w:r>
          </w:p>
        </w:tc>
        <w:tc>
          <w:tcPr>
            <w:tcW w:w="1260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0E45FD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566542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="008F605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566542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0E45FD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7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36 (83.7%)</w:t>
            </w:r>
          </w:p>
        </w:tc>
        <w:tc>
          <w:tcPr>
            <w:tcW w:w="1128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59 (74.3%)</w:t>
            </w:r>
          </w:p>
        </w:tc>
        <w:tc>
          <w:tcPr>
            <w:tcW w:w="1260" w:type="dxa"/>
            <w:noWrap/>
          </w:tcPr>
          <w:p w:rsidR="00566542" w:rsidRPr="000C64DF" w:rsidRDefault="00566542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0E45FD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566542" w:rsidRPr="000C64DF" w:rsidRDefault="00566542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1.10 (0.97</w:t>
            </w:r>
            <w:r w:rsidR="000F3A79"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1.25)</w:t>
            </w:r>
            <w:r w:rsidR="00DE65D0" w:rsidRPr="000C6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 = 0%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FD" w:rsidRPr="000C64DF" w:rsidTr="00DE65D0">
        <w:trPr>
          <w:trHeight w:val="300"/>
        </w:trPr>
        <w:tc>
          <w:tcPr>
            <w:tcW w:w="131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="006B24A0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</w:tcPr>
          <w:p w:rsidR="00566542" w:rsidRPr="000C64DF" w:rsidRDefault="00DE65D0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566542" w:rsidRPr="000C64DF" w:rsidRDefault="00DE65D0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0E45FD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placebo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1128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(100%)</w:t>
            </w:r>
          </w:p>
        </w:tc>
        <w:tc>
          <w:tcPr>
            <w:tcW w:w="1260" w:type="dxa"/>
            <w:noWrap/>
          </w:tcPr>
          <w:p w:rsidR="00566542" w:rsidRPr="000C64DF" w:rsidRDefault="00566542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566542" w:rsidRPr="000C64DF" w:rsidRDefault="00566542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18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Triolo 2003</w:t>
            </w:r>
            <w:r w:rsidR="008F6055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E65D0" w:rsidRPr="000C64DF" w:rsidRDefault="00DE65D0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 (57%)</w:t>
            </w:r>
          </w:p>
        </w:tc>
        <w:tc>
          <w:tcPr>
            <w:tcW w:w="1128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(84%)</w:t>
            </w:r>
          </w:p>
        </w:tc>
        <w:tc>
          <w:tcPr>
            <w:tcW w:w="1260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E65D0" w:rsidRPr="000C64DF" w:rsidRDefault="00DE65D0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5D0" w:rsidRPr="000C64DF" w:rsidTr="00DE65D0">
        <w:trPr>
          <w:trHeight w:val="300"/>
        </w:trPr>
        <w:tc>
          <w:tcPr>
            <w:tcW w:w="1318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Dendrinos 2009</w:t>
            </w:r>
            <w:r w:rsidR="008C4128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125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E65D0" w:rsidRPr="000C64DF" w:rsidRDefault="00DE65D0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7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15 (39.5%)</w:t>
            </w:r>
          </w:p>
        </w:tc>
        <w:tc>
          <w:tcPr>
            <w:tcW w:w="1128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29 (72.5%)</w:t>
            </w:r>
          </w:p>
        </w:tc>
        <w:tc>
          <w:tcPr>
            <w:tcW w:w="1260" w:type="dxa"/>
            <w:noWrap/>
          </w:tcPr>
          <w:p w:rsidR="00DE65D0" w:rsidRPr="000C64DF" w:rsidRDefault="00DE65D0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E65D0" w:rsidRPr="000C64DF" w:rsidRDefault="00DE65D0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Vaquero 2001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Prednisolone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 (77.3%)</w:t>
            </w:r>
          </w:p>
        </w:tc>
        <w:tc>
          <w:tcPr>
            <w:tcW w:w="1128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22 (75.9%)</w:t>
            </w:r>
          </w:p>
        </w:tc>
        <w:tc>
          <w:tcPr>
            <w:tcW w:w="1260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Ruffatti 2014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 + plasmapheresis (7), IVIG alone(5),</w:t>
            </w:r>
          </w:p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plasmapheresis alone (4), IVIG and low-dose prednisolone (3), IVIG+IA (2)</w:t>
            </w:r>
          </w:p>
        </w:tc>
        <w:tc>
          <w:tcPr>
            <w:tcW w:w="126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18 (85.7%)</w:t>
            </w:r>
          </w:p>
        </w:tc>
        <w:tc>
          <w:tcPr>
            <w:tcW w:w="1128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81 (77.8%)</w:t>
            </w:r>
          </w:p>
        </w:tc>
        <w:tc>
          <w:tcPr>
            <w:tcW w:w="1260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8F605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Ruffatti 2015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132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plasma exchange </w:t>
            </w:r>
          </w:p>
        </w:tc>
        <w:tc>
          <w:tcPr>
            <w:tcW w:w="126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plasma exchange 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13 (92.8%)</w:t>
            </w:r>
          </w:p>
        </w:tc>
        <w:tc>
          <w:tcPr>
            <w:tcW w:w="1128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(50%)</w:t>
            </w:r>
          </w:p>
        </w:tc>
        <w:tc>
          <w:tcPr>
            <w:tcW w:w="1260" w:type="dxa"/>
            <w:noWrap/>
          </w:tcPr>
          <w:p w:rsidR="00D90053" w:rsidRPr="000C64DF" w:rsidRDefault="00D90053" w:rsidP="00DE65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DE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Marzusch 1996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133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 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31 (81.6%)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2001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(94%)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5E793D">
        <w:trPr>
          <w:trHeight w:val="300"/>
        </w:trPr>
        <w:tc>
          <w:tcPr>
            <w:tcW w:w="13855" w:type="dxa"/>
            <w:gridSpan w:val="11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Miscarriages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(6.9%)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 (6.4%)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RR 1.09 (0.27 - 4.34) 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Dendrinos 2009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125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 (39%)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 (52%)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Triolo 2003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(29%)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(11.0%)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Marzusch 1996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133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 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(10.5%)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5E793D">
        <w:trPr>
          <w:trHeight w:val="300"/>
        </w:trPr>
        <w:tc>
          <w:tcPr>
            <w:tcW w:w="13855" w:type="dxa"/>
            <w:gridSpan w:val="11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study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(20%)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0.50 (0.10 - 2.43)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placebo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(14.3%)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(33%)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Vaquero 2001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LDA +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Prednisolone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9.00%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5.00%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Triolo 2003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(4.7%)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5E793D">
        <w:trPr>
          <w:trHeight w:val="300"/>
        </w:trPr>
        <w:tc>
          <w:tcPr>
            <w:tcW w:w="13855" w:type="dxa"/>
            <w:gridSpan w:val="11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(15%)</w:t>
            </w:r>
          </w:p>
        </w:tc>
        <w:tc>
          <w:tcPr>
            <w:tcW w:w="1260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2008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7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(2.3%)</w:t>
            </w:r>
          </w:p>
        </w:tc>
        <w:tc>
          <w:tcPr>
            <w:tcW w:w="1128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(11.5%)</w:t>
            </w:r>
          </w:p>
        </w:tc>
        <w:tc>
          <w:tcPr>
            <w:tcW w:w="1260" w:type="dxa"/>
            <w:noWrap/>
          </w:tcPr>
          <w:p w:rsidR="00D90053" w:rsidRPr="000C64DF" w:rsidRDefault="00D90053" w:rsidP="00566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D90053" w:rsidRPr="000C64DF" w:rsidRDefault="00D90053" w:rsidP="0056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0.18 (0.03 - 0.95); I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Heilmann 2001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(18%)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053" w:rsidRPr="000C64DF" w:rsidTr="005E793D">
        <w:trPr>
          <w:trHeight w:val="300"/>
        </w:trPr>
        <w:tc>
          <w:tcPr>
            <w:tcW w:w="13855" w:type="dxa"/>
            <w:gridSpan w:val="11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Intrauterine growth retardation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Jeremic 2005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LMWH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 (10%)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RR 1.00 (0.16 - 6.42)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Intermediate </w:t>
            </w:r>
          </w:p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D90053" w:rsidRPr="000C64DF" w:rsidTr="00DE65D0">
        <w:trPr>
          <w:trHeight w:val="300"/>
        </w:trPr>
        <w:tc>
          <w:tcPr>
            <w:tcW w:w="131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Branch 2000</w:t>
            </w:r>
            <w:r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267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Mixed treatment</w:t>
            </w:r>
          </w:p>
        </w:tc>
        <w:tc>
          <w:tcPr>
            <w:tcW w:w="1477" w:type="dxa"/>
            <w:noWrap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IVIG + LDA </w:t>
            </w:r>
          </w:p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+ heparin</w:t>
            </w:r>
          </w:p>
        </w:tc>
        <w:tc>
          <w:tcPr>
            <w:tcW w:w="126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heparin + placebo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 (14%)</w:t>
            </w:r>
          </w:p>
        </w:tc>
        <w:tc>
          <w:tcPr>
            <w:tcW w:w="1128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 (33%)</w:t>
            </w:r>
          </w:p>
        </w:tc>
        <w:tc>
          <w:tcPr>
            <w:tcW w:w="1260" w:type="dxa"/>
            <w:noWrap/>
          </w:tcPr>
          <w:p w:rsidR="00D90053" w:rsidRPr="000C64DF" w:rsidRDefault="00D90053" w:rsidP="00112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:rsidR="00D90053" w:rsidRPr="000C64DF" w:rsidRDefault="00D90053" w:rsidP="0011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0EA" w:rsidRDefault="000500EA" w:rsidP="00F41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1EB5" w:rsidRPr="000500EA" w:rsidRDefault="00F41EB5" w:rsidP="00F41EB5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RCT = randomized controlled trial; RR = risk ratio; CI = confidence interval; LMWH = low molecular weight heparin; na = not applicable; IA = immunoadsorption.</w:t>
      </w: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00EA" w:rsidRDefault="000500EA" w:rsidP="00CD0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0CEA" w:rsidRPr="000500EA" w:rsidRDefault="00A67036" w:rsidP="00CD0CEA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>Suppl</w:t>
      </w:r>
      <w:r w:rsidR="00CD0CEA" w:rsidRPr="000500EA">
        <w:rPr>
          <w:rFonts w:ascii="Times New Roman" w:hAnsi="Times New Roman" w:cs="Times New Roman"/>
        </w:rPr>
        <w:t>emental t</w:t>
      </w:r>
      <w:r w:rsidRPr="000500EA">
        <w:rPr>
          <w:rFonts w:ascii="Times New Roman" w:hAnsi="Times New Roman" w:cs="Times New Roman"/>
        </w:rPr>
        <w:t>able</w:t>
      </w:r>
      <w:r w:rsidR="00C14055" w:rsidRPr="000500EA">
        <w:rPr>
          <w:rFonts w:ascii="Times New Roman" w:hAnsi="Times New Roman" w:cs="Times New Roman"/>
        </w:rPr>
        <w:t xml:space="preserve"> 1</w:t>
      </w:r>
      <w:r w:rsidR="00CD0CEA" w:rsidRPr="000500EA">
        <w:rPr>
          <w:rFonts w:ascii="Times New Roman" w:hAnsi="Times New Roman" w:cs="Times New Roman"/>
        </w:rPr>
        <w:t>3</w:t>
      </w:r>
      <w:r w:rsidRPr="000500EA">
        <w:rPr>
          <w:rFonts w:ascii="Times New Roman" w:hAnsi="Times New Roman" w:cs="Times New Roman"/>
        </w:rPr>
        <w:t xml:space="preserve">. </w:t>
      </w:r>
      <w:r w:rsidR="00CD0CEA" w:rsidRPr="000500EA">
        <w:rPr>
          <w:rFonts w:ascii="Times New Roman" w:hAnsi="Times New Roman" w:cs="Times New Roman"/>
        </w:rPr>
        <w:t xml:space="preserve"> Pregnancy outcomes in single treatment arm studies of pregnant women with thrombotic antiphospholipid syndrome </w:t>
      </w:r>
    </w:p>
    <w:p w:rsidR="004447BC" w:rsidRPr="000500EA" w:rsidRDefault="00CD0CEA" w:rsidP="00CD0CEA">
      <w:pPr>
        <w:spacing w:line="240" w:lineRule="auto"/>
        <w:rPr>
          <w:rFonts w:ascii="Times New Roman" w:hAnsi="Times New Roman" w:cs="Times New Roman"/>
        </w:rPr>
      </w:pPr>
      <w:r w:rsidRPr="000500EA">
        <w:rPr>
          <w:rFonts w:ascii="Times New Roman" w:hAnsi="Times New Roman" w:cs="Times New Roman"/>
        </w:rPr>
        <w:t xml:space="preserve">treated with low dose aspirin (LDA) and therapeutic dose low molecular weigth heparin (LMWH).  </w:t>
      </w:r>
    </w:p>
    <w:p w:rsidR="00CD0CEA" w:rsidRPr="000C64DF" w:rsidRDefault="00CD0C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2"/>
        <w:gridCol w:w="1318"/>
        <w:gridCol w:w="1740"/>
        <w:gridCol w:w="1170"/>
        <w:gridCol w:w="1261"/>
        <w:gridCol w:w="1440"/>
        <w:gridCol w:w="1620"/>
        <w:gridCol w:w="1260"/>
      </w:tblGrid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intervention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patients, control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intervention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Events, control</w:t>
            </w: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  <w:hideMark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Live births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D90053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30 (91%)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728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Bramham 2010</w:t>
            </w:r>
            <w:r w:rsidR="00D90053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129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 (100%)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Fischer-Betz 2012</w:t>
            </w:r>
            <w:r w:rsidR="00D90053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21 (91.3%)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Ruffatti 2014</w:t>
            </w:r>
            <w:r w:rsidR="00D90053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39 (71%)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Saccone 2017</w:t>
            </w:r>
            <w:r w:rsidR="00D90053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118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50 (42.0%)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  <w:hideMark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Pre-term delivery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Bramham 2010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129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11 (26.8%)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Fischer-Betz 2012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9 (42.9%)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  <w:hideMark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Pre-eclampsia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Bramham 2010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129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10 (24.4%)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Fischer-Betz 2012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8 (34.8%)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Maternal thrombosis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Fischer-Betz 2012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 xml:space="preserve">3 (13%) 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  <w:hideMark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Intrauterine growth retardation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Stone 2005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 (11%)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Fischer-Betz 2012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18" w:type="dxa"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6 (28.6%)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CD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02" w:rsidRPr="000C64DF" w:rsidTr="005E793D">
        <w:trPr>
          <w:trHeight w:val="300"/>
        </w:trPr>
        <w:tc>
          <w:tcPr>
            <w:tcW w:w="12762" w:type="dxa"/>
            <w:gridSpan w:val="9"/>
            <w:noWrap/>
            <w:hideMark/>
          </w:tcPr>
          <w:p w:rsidR="00665102" w:rsidRPr="000C64DF" w:rsidRDefault="00665102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b/>
                <w:sz w:val="20"/>
                <w:szCs w:val="20"/>
              </w:rPr>
              <w:t>Small for gestational age</w:t>
            </w:r>
          </w:p>
        </w:tc>
      </w:tr>
      <w:tr w:rsidR="00CD0CEA" w:rsidRPr="000C64DF" w:rsidTr="00CD0CEA">
        <w:trPr>
          <w:trHeight w:val="300"/>
        </w:trPr>
        <w:tc>
          <w:tcPr>
            <w:tcW w:w="1705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Bramham 2010</w:t>
            </w:r>
            <w:r w:rsidR="00CF0E52" w:rsidRPr="000C6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129</w:t>
            </w:r>
          </w:p>
        </w:tc>
        <w:tc>
          <w:tcPr>
            <w:tcW w:w="1262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18" w:type="dxa"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Single treatment arm</w:t>
            </w:r>
          </w:p>
        </w:tc>
        <w:tc>
          <w:tcPr>
            <w:tcW w:w="17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LDA + LMWH therapeutic dose</w:t>
            </w:r>
          </w:p>
        </w:tc>
        <w:tc>
          <w:tcPr>
            <w:tcW w:w="117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16 (39.5%)</w:t>
            </w:r>
          </w:p>
        </w:tc>
        <w:tc>
          <w:tcPr>
            <w:tcW w:w="1260" w:type="dxa"/>
            <w:noWrap/>
            <w:hideMark/>
          </w:tcPr>
          <w:p w:rsidR="00CD0CEA" w:rsidRPr="000C64DF" w:rsidRDefault="00CD0CEA" w:rsidP="00A6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0500EA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= not applicable</w:t>
      </w:r>
    </w:p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4447BC" w:rsidP="0044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7BC" w:rsidRPr="000C64DF" w:rsidRDefault="004447BC" w:rsidP="0017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47BC" w:rsidRPr="000C64DF" w:rsidSect="00C218A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2D" w:rsidRDefault="00366E2D" w:rsidP="006A501B">
      <w:pPr>
        <w:spacing w:after="0" w:line="240" w:lineRule="auto"/>
      </w:pPr>
      <w:r>
        <w:separator/>
      </w:r>
    </w:p>
  </w:endnote>
  <w:endnote w:type="continuationSeparator" w:id="0">
    <w:p w:rsidR="00366E2D" w:rsidRDefault="00366E2D" w:rsidP="006A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2D" w:rsidRDefault="00366E2D" w:rsidP="006A501B">
      <w:pPr>
        <w:spacing w:after="0" w:line="240" w:lineRule="auto"/>
      </w:pPr>
      <w:r>
        <w:separator/>
      </w:r>
    </w:p>
  </w:footnote>
  <w:footnote w:type="continuationSeparator" w:id="0">
    <w:p w:rsidR="00366E2D" w:rsidRDefault="00366E2D" w:rsidP="006A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92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4DF" w:rsidRDefault="00366E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4DF" w:rsidRDefault="000C6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8FB"/>
    <w:multiLevelType w:val="hybridMultilevel"/>
    <w:tmpl w:val="61986C0C"/>
    <w:lvl w:ilvl="0" w:tplc="088C5A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A8"/>
    <w:rsid w:val="00004CF2"/>
    <w:rsid w:val="00006FE5"/>
    <w:rsid w:val="00011889"/>
    <w:rsid w:val="0002046B"/>
    <w:rsid w:val="00024A0D"/>
    <w:rsid w:val="0003071D"/>
    <w:rsid w:val="00030C38"/>
    <w:rsid w:val="00033120"/>
    <w:rsid w:val="000332D7"/>
    <w:rsid w:val="00041C4E"/>
    <w:rsid w:val="000455B8"/>
    <w:rsid w:val="000500EA"/>
    <w:rsid w:val="00055B83"/>
    <w:rsid w:val="000626DE"/>
    <w:rsid w:val="00062FD8"/>
    <w:rsid w:val="00071BFC"/>
    <w:rsid w:val="00072840"/>
    <w:rsid w:val="00072E53"/>
    <w:rsid w:val="00073848"/>
    <w:rsid w:val="000740ED"/>
    <w:rsid w:val="00077886"/>
    <w:rsid w:val="00082C35"/>
    <w:rsid w:val="00092D39"/>
    <w:rsid w:val="000A7ECF"/>
    <w:rsid w:val="000B21F2"/>
    <w:rsid w:val="000C2AD0"/>
    <w:rsid w:val="000C64DF"/>
    <w:rsid w:val="000C7234"/>
    <w:rsid w:val="000D02D4"/>
    <w:rsid w:val="000D18D8"/>
    <w:rsid w:val="000D21BB"/>
    <w:rsid w:val="000D5B05"/>
    <w:rsid w:val="000D7F79"/>
    <w:rsid w:val="000E20BA"/>
    <w:rsid w:val="000E2D1F"/>
    <w:rsid w:val="000E3823"/>
    <w:rsid w:val="000E45FD"/>
    <w:rsid w:val="000E744A"/>
    <w:rsid w:val="000F30CF"/>
    <w:rsid w:val="000F3A79"/>
    <w:rsid w:val="001044FE"/>
    <w:rsid w:val="00105A25"/>
    <w:rsid w:val="001125E9"/>
    <w:rsid w:val="001173AB"/>
    <w:rsid w:val="001179D0"/>
    <w:rsid w:val="001364EE"/>
    <w:rsid w:val="001377A3"/>
    <w:rsid w:val="001465BA"/>
    <w:rsid w:val="00157E65"/>
    <w:rsid w:val="00161471"/>
    <w:rsid w:val="00161CAC"/>
    <w:rsid w:val="00165076"/>
    <w:rsid w:val="00172B31"/>
    <w:rsid w:val="00174679"/>
    <w:rsid w:val="00175508"/>
    <w:rsid w:val="00180BD4"/>
    <w:rsid w:val="001822D3"/>
    <w:rsid w:val="001870B1"/>
    <w:rsid w:val="001943AA"/>
    <w:rsid w:val="001A1299"/>
    <w:rsid w:val="001A3B9B"/>
    <w:rsid w:val="001A549F"/>
    <w:rsid w:val="001A55C5"/>
    <w:rsid w:val="001A6BAF"/>
    <w:rsid w:val="001A7013"/>
    <w:rsid w:val="001A7BDE"/>
    <w:rsid w:val="001B00FE"/>
    <w:rsid w:val="001B08E6"/>
    <w:rsid w:val="001C1BDE"/>
    <w:rsid w:val="001C295D"/>
    <w:rsid w:val="001C4717"/>
    <w:rsid w:val="001D170E"/>
    <w:rsid w:val="001D2BFC"/>
    <w:rsid w:val="001D2C6F"/>
    <w:rsid w:val="001D6FF4"/>
    <w:rsid w:val="001D7370"/>
    <w:rsid w:val="001E455B"/>
    <w:rsid w:val="001F09FC"/>
    <w:rsid w:val="001F3B00"/>
    <w:rsid w:val="00200AB8"/>
    <w:rsid w:val="00200B39"/>
    <w:rsid w:val="002054A4"/>
    <w:rsid w:val="002138F9"/>
    <w:rsid w:val="00216202"/>
    <w:rsid w:val="00216D72"/>
    <w:rsid w:val="00220DC9"/>
    <w:rsid w:val="00237426"/>
    <w:rsid w:val="0024679B"/>
    <w:rsid w:val="00253549"/>
    <w:rsid w:val="002536EE"/>
    <w:rsid w:val="002539D8"/>
    <w:rsid w:val="002562DC"/>
    <w:rsid w:val="00257575"/>
    <w:rsid w:val="0026201D"/>
    <w:rsid w:val="0026275D"/>
    <w:rsid w:val="002715B6"/>
    <w:rsid w:val="002734DD"/>
    <w:rsid w:val="00274A2A"/>
    <w:rsid w:val="00280775"/>
    <w:rsid w:val="00280AE7"/>
    <w:rsid w:val="002847C5"/>
    <w:rsid w:val="00291635"/>
    <w:rsid w:val="00294B27"/>
    <w:rsid w:val="002A2AE1"/>
    <w:rsid w:val="002A3642"/>
    <w:rsid w:val="002A3E73"/>
    <w:rsid w:val="002A774E"/>
    <w:rsid w:val="002B4CD7"/>
    <w:rsid w:val="002C4269"/>
    <w:rsid w:val="002C64E5"/>
    <w:rsid w:val="002C739D"/>
    <w:rsid w:val="002D1DF4"/>
    <w:rsid w:val="002D2084"/>
    <w:rsid w:val="002D3DC0"/>
    <w:rsid w:val="002E5610"/>
    <w:rsid w:val="002F43D3"/>
    <w:rsid w:val="00301734"/>
    <w:rsid w:val="0030383A"/>
    <w:rsid w:val="003074BF"/>
    <w:rsid w:val="0031373F"/>
    <w:rsid w:val="00314CC6"/>
    <w:rsid w:val="00314FAE"/>
    <w:rsid w:val="003152DB"/>
    <w:rsid w:val="00324867"/>
    <w:rsid w:val="003331A8"/>
    <w:rsid w:val="00335E1D"/>
    <w:rsid w:val="003440B9"/>
    <w:rsid w:val="003456E0"/>
    <w:rsid w:val="00345868"/>
    <w:rsid w:val="00346034"/>
    <w:rsid w:val="00346F43"/>
    <w:rsid w:val="00350628"/>
    <w:rsid w:val="00352045"/>
    <w:rsid w:val="003561D5"/>
    <w:rsid w:val="00363371"/>
    <w:rsid w:val="00366E2D"/>
    <w:rsid w:val="00366F43"/>
    <w:rsid w:val="00393339"/>
    <w:rsid w:val="00393BA3"/>
    <w:rsid w:val="003A402E"/>
    <w:rsid w:val="003B41ED"/>
    <w:rsid w:val="003C4DCF"/>
    <w:rsid w:val="003C4ECC"/>
    <w:rsid w:val="003D365D"/>
    <w:rsid w:val="003D5305"/>
    <w:rsid w:val="003F05BF"/>
    <w:rsid w:val="003F19F6"/>
    <w:rsid w:val="003F6B0D"/>
    <w:rsid w:val="00402D06"/>
    <w:rsid w:val="0040789D"/>
    <w:rsid w:val="00407D17"/>
    <w:rsid w:val="00410756"/>
    <w:rsid w:val="004145F9"/>
    <w:rsid w:val="00420595"/>
    <w:rsid w:val="00420CE0"/>
    <w:rsid w:val="00430E03"/>
    <w:rsid w:val="00434E39"/>
    <w:rsid w:val="00435124"/>
    <w:rsid w:val="00441857"/>
    <w:rsid w:val="0044282C"/>
    <w:rsid w:val="004447BC"/>
    <w:rsid w:val="00444D49"/>
    <w:rsid w:val="00452AF4"/>
    <w:rsid w:val="0046221C"/>
    <w:rsid w:val="0046501D"/>
    <w:rsid w:val="00476A4C"/>
    <w:rsid w:val="00477900"/>
    <w:rsid w:val="00482E2D"/>
    <w:rsid w:val="004840DD"/>
    <w:rsid w:val="0049084D"/>
    <w:rsid w:val="00491916"/>
    <w:rsid w:val="0049212D"/>
    <w:rsid w:val="00494D87"/>
    <w:rsid w:val="00495584"/>
    <w:rsid w:val="004961B6"/>
    <w:rsid w:val="004A05CD"/>
    <w:rsid w:val="004A0C81"/>
    <w:rsid w:val="004A340A"/>
    <w:rsid w:val="004A4CBB"/>
    <w:rsid w:val="004A7987"/>
    <w:rsid w:val="004B308A"/>
    <w:rsid w:val="004B4AE7"/>
    <w:rsid w:val="004B6E99"/>
    <w:rsid w:val="004B74FD"/>
    <w:rsid w:val="004C1FA8"/>
    <w:rsid w:val="004C38A1"/>
    <w:rsid w:val="004D0456"/>
    <w:rsid w:val="004D10E6"/>
    <w:rsid w:val="004D4462"/>
    <w:rsid w:val="004E2766"/>
    <w:rsid w:val="004F19C2"/>
    <w:rsid w:val="004F7119"/>
    <w:rsid w:val="00503EF3"/>
    <w:rsid w:val="005117A3"/>
    <w:rsid w:val="00514102"/>
    <w:rsid w:val="00522488"/>
    <w:rsid w:val="00523287"/>
    <w:rsid w:val="005257F7"/>
    <w:rsid w:val="005260A7"/>
    <w:rsid w:val="00526357"/>
    <w:rsid w:val="0052674C"/>
    <w:rsid w:val="00527BF4"/>
    <w:rsid w:val="00533A88"/>
    <w:rsid w:val="005348A0"/>
    <w:rsid w:val="00535858"/>
    <w:rsid w:val="0054664B"/>
    <w:rsid w:val="00547DF8"/>
    <w:rsid w:val="0055166E"/>
    <w:rsid w:val="00551C90"/>
    <w:rsid w:val="00552122"/>
    <w:rsid w:val="00552B8D"/>
    <w:rsid w:val="005603AD"/>
    <w:rsid w:val="005635F3"/>
    <w:rsid w:val="00565FC7"/>
    <w:rsid w:val="00566542"/>
    <w:rsid w:val="00572575"/>
    <w:rsid w:val="0057732D"/>
    <w:rsid w:val="00581285"/>
    <w:rsid w:val="00582408"/>
    <w:rsid w:val="00584BE6"/>
    <w:rsid w:val="005876FA"/>
    <w:rsid w:val="00587F7E"/>
    <w:rsid w:val="005969AE"/>
    <w:rsid w:val="00597B37"/>
    <w:rsid w:val="005A2D41"/>
    <w:rsid w:val="005A6728"/>
    <w:rsid w:val="005B04C1"/>
    <w:rsid w:val="005B23F0"/>
    <w:rsid w:val="005B3306"/>
    <w:rsid w:val="005C11A3"/>
    <w:rsid w:val="005C5D50"/>
    <w:rsid w:val="005C7CF4"/>
    <w:rsid w:val="005D11B4"/>
    <w:rsid w:val="005D2B62"/>
    <w:rsid w:val="005E0EF2"/>
    <w:rsid w:val="005E4FCB"/>
    <w:rsid w:val="005E793D"/>
    <w:rsid w:val="005F0D10"/>
    <w:rsid w:val="00601BD6"/>
    <w:rsid w:val="006042D1"/>
    <w:rsid w:val="00604F52"/>
    <w:rsid w:val="00606E6E"/>
    <w:rsid w:val="006121B2"/>
    <w:rsid w:val="00613E53"/>
    <w:rsid w:val="00624286"/>
    <w:rsid w:val="0063248D"/>
    <w:rsid w:val="00634813"/>
    <w:rsid w:val="00634C25"/>
    <w:rsid w:val="00637BDC"/>
    <w:rsid w:val="0064117C"/>
    <w:rsid w:val="006421D8"/>
    <w:rsid w:val="006433EF"/>
    <w:rsid w:val="00645F79"/>
    <w:rsid w:val="00647A2C"/>
    <w:rsid w:val="006516C7"/>
    <w:rsid w:val="00654B32"/>
    <w:rsid w:val="00665102"/>
    <w:rsid w:val="00665B02"/>
    <w:rsid w:val="00666446"/>
    <w:rsid w:val="00670792"/>
    <w:rsid w:val="00675EFD"/>
    <w:rsid w:val="00684BD8"/>
    <w:rsid w:val="00686CAA"/>
    <w:rsid w:val="00690C5B"/>
    <w:rsid w:val="0069104B"/>
    <w:rsid w:val="006942DC"/>
    <w:rsid w:val="00695F8B"/>
    <w:rsid w:val="00696668"/>
    <w:rsid w:val="006A072D"/>
    <w:rsid w:val="006A501B"/>
    <w:rsid w:val="006B04BC"/>
    <w:rsid w:val="006B24A0"/>
    <w:rsid w:val="006B2724"/>
    <w:rsid w:val="006B4D81"/>
    <w:rsid w:val="006C7A93"/>
    <w:rsid w:val="006D323B"/>
    <w:rsid w:val="006D47D2"/>
    <w:rsid w:val="006D7186"/>
    <w:rsid w:val="006E27D2"/>
    <w:rsid w:val="006E3F6C"/>
    <w:rsid w:val="006E5B13"/>
    <w:rsid w:val="006E5D98"/>
    <w:rsid w:val="006E6EF0"/>
    <w:rsid w:val="006F1D2B"/>
    <w:rsid w:val="006F6983"/>
    <w:rsid w:val="006F6CCD"/>
    <w:rsid w:val="0070009F"/>
    <w:rsid w:val="007000F6"/>
    <w:rsid w:val="00702DDB"/>
    <w:rsid w:val="007046DC"/>
    <w:rsid w:val="00715FC1"/>
    <w:rsid w:val="00720964"/>
    <w:rsid w:val="007343F9"/>
    <w:rsid w:val="0073450E"/>
    <w:rsid w:val="00741EFF"/>
    <w:rsid w:val="007563AF"/>
    <w:rsid w:val="00756CDB"/>
    <w:rsid w:val="007570CE"/>
    <w:rsid w:val="0076183D"/>
    <w:rsid w:val="00762210"/>
    <w:rsid w:val="0076462B"/>
    <w:rsid w:val="007661E7"/>
    <w:rsid w:val="007662C3"/>
    <w:rsid w:val="007662C7"/>
    <w:rsid w:val="00767FC6"/>
    <w:rsid w:val="00775718"/>
    <w:rsid w:val="00776E56"/>
    <w:rsid w:val="00780406"/>
    <w:rsid w:val="00780B10"/>
    <w:rsid w:val="00783288"/>
    <w:rsid w:val="00790856"/>
    <w:rsid w:val="00790B1C"/>
    <w:rsid w:val="00793549"/>
    <w:rsid w:val="00794F32"/>
    <w:rsid w:val="007962CF"/>
    <w:rsid w:val="007965D8"/>
    <w:rsid w:val="007A5BDD"/>
    <w:rsid w:val="007A7A22"/>
    <w:rsid w:val="007B07EE"/>
    <w:rsid w:val="007B1EC6"/>
    <w:rsid w:val="007B4279"/>
    <w:rsid w:val="007B5739"/>
    <w:rsid w:val="007B771B"/>
    <w:rsid w:val="007C48CA"/>
    <w:rsid w:val="007C61BF"/>
    <w:rsid w:val="007E2EC8"/>
    <w:rsid w:val="007E35BD"/>
    <w:rsid w:val="007E35DF"/>
    <w:rsid w:val="007E4858"/>
    <w:rsid w:val="007F3F73"/>
    <w:rsid w:val="007F5FAE"/>
    <w:rsid w:val="007F62EB"/>
    <w:rsid w:val="007F7833"/>
    <w:rsid w:val="0080605B"/>
    <w:rsid w:val="0080789E"/>
    <w:rsid w:val="00807FF5"/>
    <w:rsid w:val="0081154B"/>
    <w:rsid w:val="0081389D"/>
    <w:rsid w:val="00816210"/>
    <w:rsid w:val="008268C0"/>
    <w:rsid w:val="0083187C"/>
    <w:rsid w:val="0083373D"/>
    <w:rsid w:val="00835F75"/>
    <w:rsid w:val="00836B98"/>
    <w:rsid w:val="00837321"/>
    <w:rsid w:val="00837A14"/>
    <w:rsid w:val="00842F98"/>
    <w:rsid w:val="00843B9B"/>
    <w:rsid w:val="0084554C"/>
    <w:rsid w:val="00861DDC"/>
    <w:rsid w:val="008625D6"/>
    <w:rsid w:val="00863B4B"/>
    <w:rsid w:val="00867E5E"/>
    <w:rsid w:val="0087087B"/>
    <w:rsid w:val="00871AE1"/>
    <w:rsid w:val="00872E5E"/>
    <w:rsid w:val="00877AEA"/>
    <w:rsid w:val="00880D45"/>
    <w:rsid w:val="00882CD2"/>
    <w:rsid w:val="00883A5D"/>
    <w:rsid w:val="00886F92"/>
    <w:rsid w:val="00894768"/>
    <w:rsid w:val="008A69C7"/>
    <w:rsid w:val="008A7906"/>
    <w:rsid w:val="008C4128"/>
    <w:rsid w:val="008C7FE7"/>
    <w:rsid w:val="008D4345"/>
    <w:rsid w:val="008D4376"/>
    <w:rsid w:val="008D5742"/>
    <w:rsid w:val="008D5BDA"/>
    <w:rsid w:val="008E6307"/>
    <w:rsid w:val="008E700C"/>
    <w:rsid w:val="008F1921"/>
    <w:rsid w:val="008F1956"/>
    <w:rsid w:val="008F6055"/>
    <w:rsid w:val="008F7184"/>
    <w:rsid w:val="008F718B"/>
    <w:rsid w:val="00902C67"/>
    <w:rsid w:val="00903A3D"/>
    <w:rsid w:val="009108E1"/>
    <w:rsid w:val="009119E7"/>
    <w:rsid w:val="0091229B"/>
    <w:rsid w:val="009222B4"/>
    <w:rsid w:val="00924CC9"/>
    <w:rsid w:val="00924CDC"/>
    <w:rsid w:val="009274A5"/>
    <w:rsid w:val="00927764"/>
    <w:rsid w:val="00927F76"/>
    <w:rsid w:val="0093271F"/>
    <w:rsid w:val="00934BC3"/>
    <w:rsid w:val="00935E42"/>
    <w:rsid w:val="00937A96"/>
    <w:rsid w:val="00946907"/>
    <w:rsid w:val="00951BA6"/>
    <w:rsid w:val="00951D97"/>
    <w:rsid w:val="00954314"/>
    <w:rsid w:val="00956A0E"/>
    <w:rsid w:val="0095737B"/>
    <w:rsid w:val="00965A10"/>
    <w:rsid w:val="0097015B"/>
    <w:rsid w:val="00976E3D"/>
    <w:rsid w:val="00977525"/>
    <w:rsid w:val="00984C79"/>
    <w:rsid w:val="00985B81"/>
    <w:rsid w:val="009875EA"/>
    <w:rsid w:val="009922C6"/>
    <w:rsid w:val="009930CE"/>
    <w:rsid w:val="00996794"/>
    <w:rsid w:val="009A0B2B"/>
    <w:rsid w:val="009A2FAA"/>
    <w:rsid w:val="009B0D02"/>
    <w:rsid w:val="009B49D1"/>
    <w:rsid w:val="009B615C"/>
    <w:rsid w:val="009C1E92"/>
    <w:rsid w:val="009D1123"/>
    <w:rsid w:val="009F0B10"/>
    <w:rsid w:val="009F23EA"/>
    <w:rsid w:val="00A01676"/>
    <w:rsid w:val="00A03E63"/>
    <w:rsid w:val="00A06F79"/>
    <w:rsid w:val="00A141E3"/>
    <w:rsid w:val="00A17CCB"/>
    <w:rsid w:val="00A20642"/>
    <w:rsid w:val="00A22E25"/>
    <w:rsid w:val="00A314BC"/>
    <w:rsid w:val="00A32F76"/>
    <w:rsid w:val="00A34EF9"/>
    <w:rsid w:val="00A36C86"/>
    <w:rsid w:val="00A41D41"/>
    <w:rsid w:val="00A44A00"/>
    <w:rsid w:val="00A52ADF"/>
    <w:rsid w:val="00A54CC8"/>
    <w:rsid w:val="00A554A8"/>
    <w:rsid w:val="00A60229"/>
    <w:rsid w:val="00A603F4"/>
    <w:rsid w:val="00A66AC8"/>
    <w:rsid w:val="00A67036"/>
    <w:rsid w:val="00A717FF"/>
    <w:rsid w:val="00A76F52"/>
    <w:rsid w:val="00A7725A"/>
    <w:rsid w:val="00A7799C"/>
    <w:rsid w:val="00A77C0D"/>
    <w:rsid w:val="00A810A0"/>
    <w:rsid w:val="00A87B5C"/>
    <w:rsid w:val="00AA0718"/>
    <w:rsid w:val="00AA27FD"/>
    <w:rsid w:val="00AA4F28"/>
    <w:rsid w:val="00AA67B8"/>
    <w:rsid w:val="00AB0B9C"/>
    <w:rsid w:val="00AB369A"/>
    <w:rsid w:val="00AB7E4C"/>
    <w:rsid w:val="00AC1844"/>
    <w:rsid w:val="00AC335B"/>
    <w:rsid w:val="00AD451F"/>
    <w:rsid w:val="00AE2B05"/>
    <w:rsid w:val="00AE695C"/>
    <w:rsid w:val="00B011A4"/>
    <w:rsid w:val="00B01D18"/>
    <w:rsid w:val="00B0264F"/>
    <w:rsid w:val="00B11443"/>
    <w:rsid w:val="00B26C79"/>
    <w:rsid w:val="00B27ADE"/>
    <w:rsid w:val="00B27C6E"/>
    <w:rsid w:val="00B33276"/>
    <w:rsid w:val="00B33B3B"/>
    <w:rsid w:val="00B33E85"/>
    <w:rsid w:val="00B37685"/>
    <w:rsid w:val="00B400AA"/>
    <w:rsid w:val="00B57C1A"/>
    <w:rsid w:val="00B62C78"/>
    <w:rsid w:val="00B63E2B"/>
    <w:rsid w:val="00B66223"/>
    <w:rsid w:val="00B72852"/>
    <w:rsid w:val="00B84E5D"/>
    <w:rsid w:val="00B86699"/>
    <w:rsid w:val="00B87CAB"/>
    <w:rsid w:val="00B93F46"/>
    <w:rsid w:val="00B94984"/>
    <w:rsid w:val="00B95822"/>
    <w:rsid w:val="00B97D39"/>
    <w:rsid w:val="00BA2CA8"/>
    <w:rsid w:val="00BA4CFF"/>
    <w:rsid w:val="00BB3311"/>
    <w:rsid w:val="00BB5F08"/>
    <w:rsid w:val="00BD0D6D"/>
    <w:rsid w:val="00BD14C0"/>
    <w:rsid w:val="00BD2CCC"/>
    <w:rsid w:val="00BD3D12"/>
    <w:rsid w:val="00BD438C"/>
    <w:rsid w:val="00BD5EBA"/>
    <w:rsid w:val="00BD7BF0"/>
    <w:rsid w:val="00BF039F"/>
    <w:rsid w:val="00BF2957"/>
    <w:rsid w:val="00BF3972"/>
    <w:rsid w:val="00BF7805"/>
    <w:rsid w:val="00C0098A"/>
    <w:rsid w:val="00C06349"/>
    <w:rsid w:val="00C14055"/>
    <w:rsid w:val="00C218A8"/>
    <w:rsid w:val="00C25415"/>
    <w:rsid w:val="00C411D2"/>
    <w:rsid w:val="00C44797"/>
    <w:rsid w:val="00C45135"/>
    <w:rsid w:val="00C51871"/>
    <w:rsid w:val="00C5670E"/>
    <w:rsid w:val="00C61956"/>
    <w:rsid w:val="00C62BAC"/>
    <w:rsid w:val="00C74005"/>
    <w:rsid w:val="00C7666D"/>
    <w:rsid w:val="00C7746F"/>
    <w:rsid w:val="00C77944"/>
    <w:rsid w:val="00C862A1"/>
    <w:rsid w:val="00C91168"/>
    <w:rsid w:val="00C916D4"/>
    <w:rsid w:val="00CA51BB"/>
    <w:rsid w:val="00CA576D"/>
    <w:rsid w:val="00CA6177"/>
    <w:rsid w:val="00CB1B0B"/>
    <w:rsid w:val="00CB1F03"/>
    <w:rsid w:val="00CB2015"/>
    <w:rsid w:val="00CB2075"/>
    <w:rsid w:val="00CB3D3C"/>
    <w:rsid w:val="00CB6900"/>
    <w:rsid w:val="00CC08DC"/>
    <w:rsid w:val="00CC5010"/>
    <w:rsid w:val="00CD0CEA"/>
    <w:rsid w:val="00CD76BD"/>
    <w:rsid w:val="00CD7B55"/>
    <w:rsid w:val="00CD7D2E"/>
    <w:rsid w:val="00CD7E3B"/>
    <w:rsid w:val="00CD7EEE"/>
    <w:rsid w:val="00CE47B6"/>
    <w:rsid w:val="00CE6811"/>
    <w:rsid w:val="00CE7CFA"/>
    <w:rsid w:val="00CF0E52"/>
    <w:rsid w:val="00CF1854"/>
    <w:rsid w:val="00CF2836"/>
    <w:rsid w:val="00CF6B82"/>
    <w:rsid w:val="00D01070"/>
    <w:rsid w:val="00D03FAE"/>
    <w:rsid w:val="00D10C5E"/>
    <w:rsid w:val="00D13AB2"/>
    <w:rsid w:val="00D163EF"/>
    <w:rsid w:val="00D24319"/>
    <w:rsid w:val="00D2497E"/>
    <w:rsid w:val="00D250BF"/>
    <w:rsid w:val="00D26A81"/>
    <w:rsid w:val="00D26E19"/>
    <w:rsid w:val="00D33812"/>
    <w:rsid w:val="00D350CE"/>
    <w:rsid w:val="00D35B91"/>
    <w:rsid w:val="00D413C5"/>
    <w:rsid w:val="00D47149"/>
    <w:rsid w:val="00D50A1F"/>
    <w:rsid w:val="00D55C26"/>
    <w:rsid w:val="00D612E5"/>
    <w:rsid w:val="00D640C7"/>
    <w:rsid w:val="00D658F3"/>
    <w:rsid w:val="00D74386"/>
    <w:rsid w:val="00D7494B"/>
    <w:rsid w:val="00D814FD"/>
    <w:rsid w:val="00D81943"/>
    <w:rsid w:val="00D85E36"/>
    <w:rsid w:val="00D85ED0"/>
    <w:rsid w:val="00D90053"/>
    <w:rsid w:val="00D93470"/>
    <w:rsid w:val="00DA2349"/>
    <w:rsid w:val="00DA2FDB"/>
    <w:rsid w:val="00DA4AFA"/>
    <w:rsid w:val="00DB2C83"/>
    <w:rsid w:val="00DC2B7B"/>
    <w:rsid w:val="00DC63E4"/>
    <w:rsid w:val="00DD032F"/>
    <w:rsid w:val="00DD2A14"/>
    <w:rsid w:val="00DD5833"/>
    <w:rsid w:val="00DD5AE2"/>
    <w:rsid w:val="00DD619F"/>
    <w:rsid w:val="00DD649F"/>
    <w:rsid w:val="00DD7719"/>
    <w:rsid w:val="00DD77BE"/>
    <w:rsid w:val="00DE08A4"/>
    <w:rsid w:val="00DE0A08"/>
    <w:rsid w:val="00DE2A6C"/>
    <w:rsid w:val="00DE3564"/>
    <w:rsid w:val="00DE3930"/>
    <w:rsid w:val="00DE3BA2"/>
    <w:rsid w:val="00DE603C"/>
    <w:rsid w:val="00DE65D0"/>
    <w:rsid w:val="00DE7700"/>
    <w:rsid w:val="00DF0C04"/>
    <w:rsid w:val="00DF51C4"/>
    <w:rsid w:val="00E07688"/>
    <w:rsid w:val="00E30ED6"/>
    <w:rsid w:val="00E35842"/>
    <w:rsid w:val="00E35F13"/>
    <w:rsid w:val="00E36D60"/>
    <w:rsid w:val="00E43956"/>
    <w:rsid w:val="00E51BF0"/>
    <w:rsid w:val="00E55869"/>
    <w:rsid w:val="00E560D4"/>
    <w:rsid w:val="00E6009F"/>
    <w:rsid w:val="00E62C72"/>
    <w:rsid w:val="00E64BF3"/>
    <w:rsid w:val="00E64E9C"/>
    <w:rsid w:val="00E64F73"/>
    <w:rsid w:val="00E7480F"/>
    <w:rsid w:val="00E773E1"/>
    <w:rsid w:val="00E824F0"/>
    <w:rsid w:val="00E854EA"/>
    <w:rsid w:val="00E855A4"/>
    <w:rsid w:val="00E85B5A"/>
    <w:rsid w:val="00E924C8"/>
    <w:rsid w:val="00E95537"/>
    <w:rsid w:val="00E9579E"/>
    <w:rsid w:val="00E972A8"/>
    <w:rsid w:val="00E9783C"/>
    <w:rsid w:val="00EA163C"/>
    <w:rsid w:val="00EA2E09"/>
    <w:rsid w:val="00EA2E65"/>
    <w:rsid w:val="00EB25B0"/>
    <w:rsid w:val="00EB4FA9"/>
    <w:rsid w:val="00EB7778"/>
    <w:rsid w:val="00EC187D"/>
    <w:rsid w:val="00EC507C"/>
    <w:rsid w:val="00EC5135"/>
    <w:rsid w:val="00EC78FE"/>
    <w:rsid w:val="00EE04EA"/>
    <w:rsid w:val="00EE3D9C"/>
    <w:rsid w:val="00EE660B"/>
    <w:rsid w:val="00EE6C10"/>
    <w:rsid w:val="00EF3472"/>
    <w:rsid w:val="00EF6EA5"/>
    <w:rsid w:val="00F14EAA"/>
    <w:rsid w:val="00F152C1"/>
    <w:rsid w:val="00F15C1F"/>
    <w:rsid w:val="00F2117B"/>
    <w:rsid w:val="00F2480A"/>
    <w:rsid w:val="00F2513F"/>
    <w:rsid w:val="00F252C1"/>
    <w:rsid w:val="00F277BD"/>
    <w:rsid w:val="00F305D9"/>
    <w:rsid w:val="00F30B5B"/>
    <w:rsid w:val="00F31A6F"/>
    <w:rsid w:val="00F3295A"/>
    <w:rsid w:val="00F33D61"/>
    <w:rsid w:val="00F35151"/>
    <w:rsid w:val="00F36A78"/>
    <w:rsid w:val="00F375BE"/>
    <w:rsid w:val="00F41EB5"/>
    <w:rsid w:val="00F44B6D"/>
    <w:rsid w:val="00F45F44"/>
    <w:rsid w:val="00F46C10"/>
    <w:rsid w:val="00F5071E"/>
    <w:rsid w:val="00F50CBF"/>
    <w:rsid w:val="00F56D75"/>
    <w:rsid w:val="00F613EE"/>
    <w:rsid w:val="00F62EE0"/>
    <w:rsid w:val="00F64E18"/>
    <w:rsid w:val="00F81CF1"/>
    <w:rsid w:val="00F85C96"/>
    <w:rsid w:val="00FA29F7"/>
    <w:rsid w:val="00FA2D40"/>
    <w:rsid w:val="00FA71C3"/>
    <w:rsid w:val="00FA76B7"/>
    <w:rsid w:val="00FB272A"/>
    <w:rsid w:val="00FB34F2"/>
    <w:rsid w:val="00FB5788"/>
    <w:rsid w:val="00FC3523"/>
    <w:rsid w:val="00FC59FA"/>
    <w:rsid w:val="00FD1F2E"/>
    <w:rsid w:val="00FD22BF"/>
    <w:rsid w:val="00FD69B2"/>
    <w:rsid w:val="00FD69F3"/>
    <w:rsid w:val="00FE1E96"/>
    <w:rsid w:val="00FE3B65"/>
    <w:rsid w:val="00FE45FD"/>
    <w:rsid w:val="00FE483D"/>
    <w:rsid w:val="00FE643D"/>
    <w:rsid w:val="00FE6E2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1B"/>
  </w:style>
  <w:style w:type="paragraph" w:styleId="Footer">
    <w:name w:val="footer"/>
    <w:basedOn w:val="Normal"/>
    <w:link w:val="FooterChar"/>
    <w:uiPriority w:val="99"/>
    <w:unhideWhenUsed/>
    <w:rsid w:val="006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1B"/>
  </w:style>
  <w:style w:type="paragraph" w:styleId="ListParagraph">
    <w:name w:val="List Paragraph"/>
    <w:basedOn w:val="Normal"/>
    <w:uiPriority w:val="34"/>
    <w:qFormat/>
    <w:rsid w:val="006C7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1B"/>
  </w:style>
  <w:style w:type="paragraph" w:styleId="Footer">
    <w:name w:val="footer"/>
    <w:basedOn w:val="Normal"/>
    <w:link w:val="FooterChar"/>
    <w:uiPriority w:val="99"/>
    <w:unhideWhenUsed/>
    <w:rsid w:val="006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1B"/>
  </w:style>
  <w:style w:type="paragraph" w:styleId="ListParagraph">
    <w:name w:val="List Paragraph"/>
    <w:basedOn w:val="Normal"/>
    <w:uiPriority w:val="34"/>
    <w:qFormat/>
    <w:rsid w:val="006C7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AB44-CE60-44BD-95EC-CC58AB6F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5624</Words>
  <Characters>30375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Michael (NIH/NIAMS) [E]</dc:creator>
  <cp:lastModifiedBy>maria tektonidou</cp:lastModifiedBy>
  <cp:revision>2</cp:revision>
  <cp:lastPrinted>2018-11-13T01:29:00Z</cp:lastPrinted>
  <dcterms:created xsi:type="dcterms:W3CDTF">2019-03-26T18:36:00Z</dcterms:created>
  <dcterms:modified xsi:type="dcterms:W3CDTF">2019-03-26T18:36:00Z</dcterms:modified>
</cp:coreProperties>
</file>